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B6B8" w14:textId="27F3FA3F" w:rsidR="00A56C85" w:rsidRDefault="00A56C85" w:rsidP="00A56C85">
      <w:pPr>
        <w:pStyle w:val="Heading1"/>
      </w:pPr>
      <w:r w:rsidRPr="00A56C85">
        <w:t xml:space="preserve">Ethics </w:t>
      </w:r>
      <w:r>
        <w:t>Comprehensive Exam</w:t>
      </w:r>
    </w:p>
    <w:p w14:paraId="549A982F" w14:textId="77777777" w:rsidR="00A56C85" w:rsidRPr="00A56C85" w:rsidRDefault="00A56C85" w:rsidP="00A56C85"/>
    <w:p w14:paraId="3A293C14" w14:textId="42BA6483" w:rsidR="00A56C85" w:rsidRDefault="00A56C85" w:rsidP="00A56C85">
      <w:pPr>
        <w:pStyle w:val="Heading2"/>
      </w:pPr>
      <w:r>
        <w:t>General Instructions</w:t>
      </w:r>
    </w:p>
    <w:p w14:paraId="5FB52DD4" w14:textId="77777777" w:rsidR="00A56C85" w:rsidRDefault="00A56C85">
      <w:r w:rsidRPr="00A56C85">
        <w:t>Questions on the first section of the exam will be drawn from the reading list. Students should be familiar with the material on the reading list well in advance of taking the MA Ethics exam.</w:t>
      </w:r>
    </w:p>
    <w:p w14:paraId="185B2FAD" w14:textId="77777777" w:rsidR="00A56C85" w:rsidRDefault="00A56C85"/>
    <w:p w14:paraId="2481A255" w14:textId="77777777" w:rsidR="00A56C85" w:rsidRDefault="00A56C85">
      <w:r w:rsidRPr="00A56C85">
        <w:t>The exam usually will include a second section consisting of questions from recent graduate seminars (this may include not only courses labelled “PHIL 5430: Seminar in Ethics,” but also other graduate courses that have content relevant to ethics). Students are limited to answering no more than one question from this section. But they are not required to answer any questions from the second section – they may choose both of their questions from section one.</w:t>
      </w:r>
    </w:p>
    <w:p w14:paraId="77F5643C" w14:textId="77777777" w:rsidR="00A56C85" w:rsidRDefault="00A56C85"/>
    <w:p w14:paraId="3AA1DF23" w14:textId="1C1343B1" w:rsidR="00A56C85" w:rsidRDefault="00A56C85">
      <w:r w:rsidRPr="00A56C85">
        <w:t>Copies of previous MA Ethics Exams are available, by contacting the department’s administrative assistant. Students are encouraged to look at these questions. Students taking an MA exam in any area also ought to contact the faculty member who is listed as the main coordinator for that area exam.</w:t>
      </w:r>
    </w:p>
    <w:p w14:paraId="0DB1F4BC" w14:textId="77777777" w:rsidR="00A56C85" w:rsidRDefault="00A56C85"/>
    <w:p w14:paraId="0C00EDC3" w14:textId="77777777" w:rsidR="00A56C85" w:rsidRDefault="00A56C85" w:rsidP="00A56C85">
      <w:pPr>
        <w:pStyle w:val="Heading2"/>
      </w:pPr>
      <w:r w:rsidRPr="00A56C85">
        <w:t>Reading List</w:t>
      </w:r>
    </w:p>
    <w:p w14:paraId="61DAACBE" w14:textId="77777777" w:rsidR="00A56C85" w:rsidRDefault="00A56C85" w:rsidP="00A56C85">
      <w:pPr>
        <w:ind w:left="720" w:hanging="720"/>
      </w:pPr>
      <w:r w:rsidRPr="00A56C85">
        <w:t xml:space="preserve">Aristotle. </w:t>
      </w:r>
      <w:proofErr w:type="spellStart"/>
      <w:r w:rsidRPr="00A56C85">
        <w:rPr>
          <w:i/>
          <w:iCs/>
        </w:rPr>
        <w:t>Nichomachean</w:t>
      </w:r>
      <w:proofErr w:type="spellEnd"/>
      <w:r w:rsidRPr="00A56C85">
        <w:rPr>
          <w:i/>
          <w:iCs/>
        </w:rPr>
        <w:t xml:space="preserve"> Ethics</w:t>
      </w:r>
      <w:r w:rsidRPr="00A56C85">
        <w:t>, (Books I-IV &amp; X).</w:t>
      </w:r>
    </w:p>
    <w:p w14:paraId="213FCFE0" w14:textId="77777777" w:rsidR="00A56C85" w:rsidRDefault="00A56C85" w:rsidP="00A56C85">
      <w:pPr>
        <w:ind w:left="720" w:hanging="720"/>
      </w:pPr>
      <w:r w:rsidRPr="00A56C85">
        <w:t xml:space="preserve">Bentham, Jeremy. </w:t>
      </w:r>
      <w:r w:rsidRPr="00A56C85">
        <w:rPr>
          <w:i/>
          <w:iCs/>
        </w:rPr>
        <w:t>Principles of Morals &amp; Legislation</w:t>
      </w:r>
      <w:r w:rsidRPr="00A56C85">
        <w:t>, (Chapters 1 &amp; 4).</w:t>
      </w:r>
    </w:p>
    <w:p w14:paraId="60E77588" w14:textId="54E8E0B1" w:rsidR="00A56C85" w:rsidRDefault="00A56C85" w:rsidP="00A56C85">
      <w:pPr>
        <w:ind w:left="720" w:hanging="720"/>
      </w:pPr>
      <w:r w:rsidRPr="00A56C85">
        <w:t>Foot, Philippa</w:t>
      </w:r>
      <w:r w:rsidR="008433F1">
        <w:t>.</w:t>
      </w:r>
      <w:r w:rsidRPr="00A56C85">
        <w:t xml:space="preserve"> “Morality as a System of Hypothetical Imperatives.” </w:t>
      </w:r>
      <w:r w:rsidRPr="00A56C85">
        <w:rPr>
          <w:i/>
          <w:iCs/>
        </w:rPr>
        <w:t>The Philosophical Review</w:t>
      </w:r>
      <w:r w:rsidRPr="00A56C85">
        <w:t>, 81 (1972), p. 305-316.</w:t>
      </w:r>
    </w:p>
    <w:p w14:paraId="2A1A2B20" w14:textId="77777777" w:rsidR="00A56C85" w:rsidRDefault="00A56C85" w:rsidP="00A56C85">
      <w:pPr>
        <w:ind w:left="720" w:hanging="720"/>
      </w:pPr>
      <w:r w:rsidRPr="00A56C85">
        <w:t xml:space="preserve">Frye, Marilyn. “Oppression” in </w:t>
      </w:r>
      <w:r w:rsidRPr="00A56C85">
        <w:rPr>
          <w:i/>
          <w:iCs/>
        </w:rPr>
        <w:t>The Politics of Reality</w:t>
      </w:r>
      <w:r w:rsidRPr="00A56C85">
        <w:t>, (The Crossing Press, 1983), p. 1-16.</w:t>
      </w:r>
    </w:p>
    <w:p w14:paraId="6305DA3C" w14:textId="77777777" w:rsidR="00A56C85" w:rsidRDefault="00A56C85" w:rsidP="00A56C85">
      <w:pPr>
        <w:ind w:left="720" w:hanging="720"/>
      </w:pPr>
      <w:r w:rsidRPr="00A56C85">
        <w:t xml:space="preserve">Gibbard, Allan. “Moral Judgment and the Acceptance of Norms.” </w:t>
      </w:r>
      <w:r w:rsidRPr="00A56C85">
        <w:rPr>
          <w:i/>
          <w:iCs/>
        </w:rPr>
        <w:t>Ethics: An International Journal of Social, Political, and Legal Philosophy</w:t>
      </w:r>
      <w:r w:rsidRPr="00A56C85">
        <w:t>, 96, (1985), pp. 5-21.</w:t>
      </w:r>
    </w:p>
    <w:p w14:paraId="4EF49CF3" w14:textId="146BA8EE" w:rsidR="00A56C85" w:rsidRDefault="00A56C85" w:rsidP="00A56C85">
      <w:pPr>
        <w:ind w:left="720" w:hanging="720"/>
      </w:pPr>
      <w:r w:rsidRPr="00A56C85">
        <w:t xml:space="preserve">Gilligan, Carol. </w:t>
      </w:r>
      <w:r w:rsidRPr="00A56C85">
        <w:rPr>
          <w:i/>
          <w:iCs/>
        </w:rPr>
        <w:t>In a Different Voice: Psychological Theory and Women</w:t>
      </w:r>
      <w:r>
        <w:rPr>
          <w:i/>
          <w:iCs/>
        </w:rPr>
        <w:t>’</w:t>
      </w:r>
      <w:r w:rsidRPr="00A56C85">
        <w:rPr>
          <w:i/>
          <w:iCs/>
        </w:rPr>
        <w:t>s Development</w:t>
      </w:r>
      <w:r w:rsidRPr="00A56C85">
        <w:t>, (Harvard University Press, 1982), Chapter 3.</w:t>
      </w:r>
    </w:p>
    <w:p w14:paraId="28063968" w14:textId="77777777" w:rsidR="00A56C85" w:rsidRDefault="00A56C85" w:rsidP="00A56C85">
      <w:pPr>
        <w:ind w:left="720" w:hanging="720"/>
      </w:pPr>
      <w:r w:rsidRPr="00A56C85">
        <w:t>Hume, David. A</w:t>
      </w:r>
      <w:r w:rsidRPr="00A56C85">
        <w:rPr>
          <w:i/>
          <w:iCs/>
        </w:rPr>
        <w:t>n Enquiry Concerning the Principles of Morals</w:t>
      </w:r>
      <w:r w:rsidRPr="00A56C85">
        <w:t xml:space="preserve">, Sections I, II, V-VII (be sure not to confuse this with </w:t>
      </w:r>
      <w:r w:rsidRPr="00A56C85">
        <w:rPr>
          <w:i/>
          <w:iCs/>
        </w:rPr>
        <w:t>An Enquiry Concerning Human Understanding</w:t>
      </w:r>
      <w:r w:rsidRPr="00A56C85">
        <w:t>).</w:t>
      </w:r>
    </w:p>
    <w:p w14:paraId="341990EA" w14:textId="20EA4436" w:rsidR="00A56C85" w:rsidRDefault="00A56C85" w:rsidP="00A56C85">
      <w:pPr>
        <w:ind w:left="720" w:hanging="720"/>
      </w:pPr>
      <w:r w:rsidRPr="00A56C85">
        <w:t xml:space="preserve">Kamm, F. M. “Terror and Collateral Damage: Are They Permissible?” </w:t>
      </w:r>
      <w:r w:rsidRPr="00A56C85">
        <w:rPr>
          <w:i/>
          <w:iCs/>
        </w:rPr>
        <w:t>The Journal of Ethics</w:t>
      </w:r>
      <w:r w:rsidRPr="00A56C85">
        <w:t xml:space="preserve"> (2005) 9: 381-401.</w:t>
      </w:r>
    </w:p>
    <w:p w14:paraId="13F47771" w14:textId="71705788" w:rsidR="00A56C85" w:rsidRDefault="00A56C85" w:rsidP="00A56C85">
      <w:pPr>
        <w:ind w:left="720" w:hanging="720"/>
      </w:pPr>
      <w:r w:rsidRPr="00A56C85">
        <w:t>Kant, Immanuel</w:t>
      </w:r>
      <w:r w:rsidR="008433F1">
        <w:t>.</w:t>
      </w:r>
      <w:r w:rsidRPr="00A56C85">
        <w:t xml:space="preserve"> </w:t>
      </w:r>
      <w:r w:rsidRPr="00A56C85">
        <w:rPr>
          <w:i/>
          <w:iCs/>
        </w:rPr>
        <w:t>Groundwork of the Metaphysics of Morals</w:t>
      </w:r>
      <w:r w:rsidRPr="00A56C85">
        <w:t>, (chapters 1 and 2, and the first eight paragraphs of chapter 3).</w:t>
      </w:r>
    </w:p>
    <w:p w14:paraId="4AAEF65C" w14:textId="77777777" w:rsidR="00A56C85" w:rsidRDefault="00A56C85" w:rsidP="00A56C85">
      <w:pPr>
        <w:ind w:left="720" w:hanging="720"/>
      </w:pPr>
      <w:r w:rsidRPr="00A56C85">
        <w:t xml:space="preserve">MacIntyre, Alasdair. </w:t>
      </w:r>
      <w:r w:rsidRPr="00A56C85">
        <w:rPr>
          <w:i/>
          <w:iCs/>
        </w:rPr>
        <w:t>After Virtue</w:t>
      </w:r>
      <w:r w:rsidRPr="00A56C85">
        <w:t>, (University of Notre Dame Press, 2nd edition, 1984), Chapter 14, 15, pp. 181-226.</w:t>
      </w:r>
    </w:p>
    <w:p w14:paraId="7678E073" w14:textId="77777777" w:rsidR="00A56C85" w:rsidRDefault="00A56C85" w:rsidP="00A56C85">
      <w:pPr>
        <w:ind w:left="720" w:hanging="720"/>
      </w:pPr>
      <w:r w:rsidRPr="00A56C85">
        <w:t xml:space="preserve">Mackie, John. </w:t>
      </w:r>
      <w:r w:rsidRPr="00A56C85">
        <w:rPr>
          <w:i/>
          <w:iCs/>
        </w:rPr>
        <w:t>Ethics: Inventing Right and Wrong</w:t>
      </w:r>
      <w:r w:rsidRPr="00A56C85">
        <w:t>, (Penguin, 1977), Part 1, Sections 1, 2 and 7-9, p. 15-18 and p. 30-41.</w:t>
      </w:r>
    </w:p>
    <w:p w14:paraId="1EF48157" w14:textId="7EF6F5BF" w:rsidR="00A56C85" w:rsidRDefault="00A56C85" w:rsidP="00A56C85">
      <w:pPr>
        <w:ind w:left="720" w:hanging="720"/>
      </w:pPr>
      <w:r w:rsidRPr="00A56C85">
        <w:t>Mill, John Stuart</w:t>
      </w:r>
      <w:r w:rsidR="008433F1">
        <w:t>.</w:t>
      </w:r>
      <w:r w:rsidRPr="00A56C85">
        <w:t xml:space="preserve"> </w:t>
      </w:r>
      <w:r w:rsidRPr="00A56C85">
        <w:rPr>
          <w:i/>
          <w:iCs/>
        </w:rPr>
        <w:t>Utilitarianism</w:t>
      </w:r>
      <w:r w:rsidRPr="00A56C85">
        <w:t>, (Chapters 1, 2, and 4).</w:t>
      </w:r>
    </w:p>
    <w:p w14:paraId="0F6B9648" w14:textId="77777777" w:rsidR="00A56C85" w:rsidRDefault="00A56C85" w:rsidP="00A56C85">
      <w:pPr>
        <w:ind w:left="720" w:hanging="720"/>
      </w:pPr>
      <w:r w:rsidRPr="00A56C85">
        <w:lastRenderedPageBreak/>
        <w:t xml:space="preserve">Moore, GE. </w:t>
      </w:r>
      <w:r w:rsidRPr="00A56C85">
        <w:rPr>
          <w:i/>
          <w:iCs/>
        </w:rPr>
        <w:t xml:space="preserve">Principia </w:t>
      </w:r>
      <w:proofErr w:type="spellStart"/>
      <w:r w:rsidRPr="00A56C85">
        <w:rPr>
          <w:i/>
          <w:iCs/>
        </w:rPr>
        <w:t>Ethica</w:t>
      </w:r>
      <w:proofErr w:type="spellEnd"/>
      <w:r w:rsidRPr="00A56C85">
        <w:t>, (Chapter 1, Sections 1-15).</w:t>
      </w:r>
    </w:p>
    <w:p w14:paraId="08B2D18D" w14:textId="77777777" w:rsidR="00A56C85" w:rsidRDefault="00A56C85" w:rsidP="00A56C85">
      <w:pPr>
        <w:ind w:left="720" w:hanging="720"/>
      </w:pPr>
      <w:r w:rsidRPr="00A56C85">
        <w:t xml:space="preserve">Murdoch, Iris. “The Sovereignty of the Good Over Other Concepts.” In </w:t>
      </w:r>
      <w:r w:rsidRPr="00A56C85">
        <w:rPr>
          <w:i/>
          <w:iCs/>
        </w:rPr>
        <w:t>Existentialists and Mystics</w:t>
      </w:r>
      <w:r w:rsidRPr="00A56C85">
        <w:t>, (Penguin, 1998), p. 363-385.</w:t>
      </w:r>
    </w:p>
    <w:p w14:paraId="4659B6CB" w14:textId="77777777" w:rsidR="00A56C85" w:rsidRDefault="00A56C85" w:rsidP="00A56C85">
      <w:pPr>
        <w:ind w:left="720" w:hanging="720"/>
      </w:pPr>
      <w:r w:rsidRPr="00A56C85">
        <w:t xml:space="preserve">Nagel, Thomas. “War and Massacre” </w:t>
      </w:r>
      <w:r w:rsidRPr="00A56C85">
        <w:rPr>
          <w:i/>
          <w:iCs/>
        </w:rPr>
        <w:t>Philosophy and Public Affairs</w:t>
      </w:r>
      <w:r w:rsidRPr="00A56C85">
        <w:t>, Vol. 1, pp. 123-144, (Winter, 1972).</w:t>
      </w:r>
    </w:p>
    <w:p w14:paraId="5A68018C" w14:textId="0E243BD6" w:rsidR="00A56C85" w:rsidRDefault="00A56C85" w:rsidP="00A56C85">
      <w:pPr>
        <w:ind w:left="720" w:hanging="720"/>
      </w:pPr>
      <w:r w:rsidRPr="00A56C85">
        <w:t>Plato</w:t>
      </w:r>
      <w:r w:rsidR="008433F1">
        <w:t>.</w:t>
      </w:r>
      <w:r w:rsidRPr="00A56C85">
        <w:t xml:space="preserve"> </w:t>
      </w:r>
      <w:r w:rsidRPr="00A56C85">
        <w:rPr>
          <w:i/>
          <w:iCs/>
        </w:rPr>
        <w:t>Republic</w:t>
      </w:r>
      <w:r w:rsidRPr="00A56C85">
        <w:t xml:space="preserve"> (Books II-IV, VI, VII).</w:t>
      </w:r>
    </w:p>
    <w:p w14:paraId="0265EE23" w14:textId="05F4304B" w:rsidR="00A56C85" w:rsidRDefault="00A56C85" w:rsidP="00A56C85">
      <w:pPr>
        <w:ind w:left="720" w:hanging="720"/>
      </w:pPr>
      <w:r w:rsidRPr="00A56C85">
        <w:t>Scanlon, TM. “</w:t>
      </w:r>
      <w:proofErr w:type="spellStart"/>
      <w:r w:rsidRPr="00A56C85">
        <w:t>Contractualism</w:t>
      </w:r>
      <w:proofErr w:type="spellEnd"/>
      <w:r w:rsidRPr="00A56C85">
        <w:t xml:space="preserve"> and Utilitarianism,” in </w:t>
      </w:r>
      <w:r w:rsidRPr="00A56C85">
        <w:rPr>
          <w:i/>
          <w:iCs/>
        </w:rPr>
        <w:t>Utilitarianism and Beyond</w:t>
      </w:r>
      <w:r w:rsidRPr="00A56C85">
        <w:t>, (Cambridge Univers</w:t>
      </w:r>
      <w:r>
        <w:t>i</w:t>
      </w:r>
      <w:r w:rsidRPr="00A56C85">
        <w:t>ty Press, 1982), ed. by Amartya Sen and Bernard Williams, p. 103-128.</w:t>
      </w:r>
    </w:p>
    <w:p w14:paraId="7B33584F" w14:textId="77777777" w:rsidR="00A56C85" w:rsidRDefault="00A56C85" w:rsidP="00A56C85">
      <w:pPr>
        <w:ind w:left="720" w:hanging="720"/>
      </w:pPr>
      <w:r w:rsidRPr="00A56C85">
        <w:t xml:space="preserve">Shue, Henry. “Torture,” </w:t>
      </w:r>
      <w:r w:rsidRPr="00A56C85">
        <w:rPr>
          <w:i/>
          <w:iCs/>
        </w:rPr>
        <w:t>Philosophy and Public Affairs</w:t>
      </w:r>
      <w:r w:rsidRPr="00A56C85">
        <w:t>, Vol. 7, pp. 124-143, (Winter, 1978).</w:t>
      </w:r>
    </w:p>
    <w:p w14:paraId="78140EA0" w14:textId="77777777" w:rsidR="00A56C85" w:rsidRDefault="00A56C85" w:rsidP="00A56C85">
      <w:pPr>
        <w:ind w:left="720" w:hanging="720"/>
      </w:pPr>
      <w:r w:rsidRPr="00A56C85">
        <w:t xml:space="preserve">Singer, Peter. “All Animals Are Equal…” Chapter 1 of </w:t>
      </w:r>
      <w:r w:rsidRPr="00A56C85">
        <w:rPr>
          <w:i/>
          <w:iCs/>
        </w:rPr>
        <w:t>Animal Liberation</w:t>
      </w:r>
      <w:r w:rsidRPr="00A56C85">
        <w:t xml:space="preserve"> (New York Review of Books, 1975), p. 1-24</w:t>
      </w:r>
      <w:r>
        <w:t>.</w:t>
      </w:r>
    </w:p>
    <w:p w14:paraId="133ABDC4" w14:textId="77777777" w:rsidR="00A56C85" w:rsidRDefault="00A56C85" w:rsidP="00A56C85">
      <w:pPr>
        <w:ind w:left="720" w:hanging="720"/>
      </w:pPr>
      <w:r>
        <w:t>---</w:t>
      </w:r>
      <w:r w:rsidRPr="00A56C85">
        <w:t xml:space="preserve">. “Famine, Affluence, and Morality” </w:t>
      </w:r>
      <w:r w:rsidRPr="00A56C85">
        <w:rPr>
          <w:i/>
          <w:iCs/>
        </w:rPr>
        <w:t>Philosophy and Public Affairs</w:t>
      </w:r>
      <w:r w:rsidRPr="00A56C85">
        <w:t>, Vol. 1, pp. 229 243, (Spring, 1972).</w:t>
      </w:r>
    </w:p>
    <w:p w14:paraId="49BF74A1" w14:textId="77777777" w:rsidR="00A56C85" w:rsidRDefault="00A56C85" w:rsidP="00A56C85">
      <w:pPr>
        <w:ind w:left="720" w:hanging="720"/>
      </w:pPr>
      <w:r w:rsidRPr="00A56C85">
        <w:t xml:space="preserve">Stevenson, CL. “The Emotive Meaning of Ethical Terms,” </w:t>
      </w:r>
      <w:r w:rsidRPr="00A56C85">
        <w:rPr>
          <w:i/>
          <w:iCs/>
        </w:rPr>
        <w:t>Mind</w:t>
      </w:r>
      <w:r w:rsidRPr="00A56C85">
        <w:t>, vol. 46, no. 181, p. 14-31 (January 1937).</w:t>
      </w:r>
    </w:p>
    <w:p w14:paraId="15482D53" w14:textId="3083C23D" w:rsidR="00C25B7B" w:rsidRDefault="00A56C85" w:rsidP="00A56C85">
      <w:pPr>
        <w:ind w:left="720" w:hanging="720"/>
      </w:pPr>
      <w:r w:rsidRPr="00A56C85">
        <w:t xml:space="preserve">Thomson, Judith. “A Defense of Abortion,” </w:t>
      </w:r>
      <w:r w:rsidRPr="00A56C85">
        <w:rPr>
          <w:i/>
          <w:iCs/>
        </w:rPr>
        <w:t>Philosophy and Public Affairs</w:t>
      </w:r>
      <w:r w:rsidRPr="00A56C85">
        <w:t>, Vol. 1, pp. 47-66, (Fall, 1971).</w:t>
      </w:r>
    </w:p>
    <w:sectPr w:rsidR="00C25B7B" w:rsidSect="00667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85"/>
    <w:rsid w:val="000454DB"/>
    <w:rsid w:val="001333C3"/>
    <w:rsid w:val="001402FC"/>
    <w:rsid w:val="00383000"/>
    <w:rsid w:val="00384E33"/>
    <w:rsid w:val="004C603E"/>
    <w:rsid w:val="005214C7"/>
    <w:rsid w:val="005E695A"/>
    <w:rsid w:val="00615E69"/>
    <w:rsid w:val="00647542"/>
    <w:rsid w:val="00667ECF"/>
    <w:rsid w:val="00735987"/>
    <w:rsid w:val="008433F1"/>
    <w:rsid w:val="008C21B4"/>
    <w:rsid w:val="00A51019"/>
    <w:rsid w:val="00A56C85"/>
    <w:rsid w:val="00C25B7B"/>
    <w:rsid w:val="00C66D4A"/>
    <w:rsid w:val="00DB1D64"/>
    <w:rsid w:val="00DD7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EEB5"/>
  <w15:chartTrackingRefBased/>
  <w15:docId w15:val="{7D3A2AAC-3900-4EC6-A808-16E58E9B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line="26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95A"/>
    <w:rPr>
      <w:rFonts w:ascii="Calibri" w:hAnsi="Calibri"/>
      <w:sz w:val="24"/>
    </w:rPr>
  </w:style>
  <w:style w:type="paragraph" w:styleId="Heading1">
    <w:name w:val="heading 1"/>
    <w:basedOn w:val="Normal"/>
    <w:next w:val="Normal"/>
    <w:link w:val="Heading1Char"/>
    <w:uiPriority w:val="9"/>
    <w:qFormat/>
    <w:rsid w:val="001402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1402FC"/>
    <w:pPr>
      <w:keepNext/>
      <w:keepLines/>
      <w:spacing w:before="4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autoRedefine/>
    <w:uiPriority w:val="9"/>
    <w:unhideWhenUsed/>
    <w:qFormat/>
    <w:rsid w:val="00647542"/>
    <w:pPr>
      <w:keepNext/>
      <w:keepLines/>
      <w:spacing w:before="40" w:line="276" w:lineRule="auto"/>
      <w:outlineLvl w:val="2"/>
    </w:pPr>
    <w:rPr>
      <w:rFonts w:asciiTheme="majorHAnsi" w:eastAsiaTheme="majorEastAsia" w:hAnsiTheme="majorHAnsi" w:cstheme="majorBidi"/>
      <w:color w:val="2F5496" w:themeColor="accent1" w:themeShade="BF"/>
      <w:kern w:val="0"/>
      <w:szCs w:val="24"/>
      <w14:ligatures w14:val="none"/>
    </w:rPr>
  </w:style>
  <w:style w:type="paragraph" w:styleId="Heading4">
    <w:name w:val="heading 4"/>
    <w:basedOn w:val="Normal"/>
    <w:next w:val="Normal"/>
    <w:link w:val="Heading4Char"/>
    <w:uiPriority w:val="9"/>
    <w:semiHidden/>
    <w:unhideWhenUsed/>
    <w:qFormat/>
    <w:rsid w:val="00A56C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56C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56C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6C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6C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6C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2FC"/>
    <w:rPr>
      <w:rFonts w:asciiTheme="majorHAnsi" w:eastAsiaTheme="majorEastAsia" w:hAnsiTheme="majorHAnsi" w:cstheme="majorBidi"/>
      <w:color w:val="2F5496" w:themeColor="accent1" w:themeShade="BF"/>
      <w:sz w:val="28"/>
      <w:szCs w:val="26"/>
    </w:rPr>
  </w:style>
  <w:style w:type="character" w:customStyle="1" w:styleId="Heading1Char">
    <w:name w:val="Heading 1 Char"/>
    <w:basedOn w:val="DefaultParagraphFont"/>
    <w:link w:val="Heading1"/>
    <w:uiPriority w:val="9"/>
    <w:rsid w:val="001402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542"/>
    <w:rPr>
      <w:rFonts w:asciiTheme="majorHAnsi" w:eastAsiaTheme="majorEastAsia" w:hAnsiTheme="majorHAnsi" w:cstheme="majorBidi"/>
      <w:color w:val="2F5496" w:themeColor="accent1" w:themeShade="BF"/>
      <w:kern w:val="0"/>
      <w:sz w:val="24"/>
      <w:szCs w:val="24"/>
      <w14:ligatures w14:val="none"/>
    </w:rPr>
  </w:style>
  <w:style w:type="character" w:customStyle="1" w:styleId="Heading4Char">
    <w:name w:val="Heading 4 Char"/>
    <w:basedOn w:val="DefaultParagraphFont"/>
    <w:link w:val="Heading4"/>
    <w:uiPriority w:val="9"/>
    <w:semiHidden/>
    <w:rsid w:val="00A56C85"/>
    <w:rPr>
      <w:rFonts w:asciiTheme="minorHAnsi" w:eastAsiaTheme="majorEastAsia" w:hAnsiTheme="min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A56C85"/>
    <w:rPr>
      <w:rFonts w:asciiTheme="minorHAnsi" w:eastAsiaTheme="majorEastAsia" w:hAnsiTheme="minorHAnsi" w:cstheme="majorBidi"/>
      <w:color w:val="2F5496" w:themeColor="accent1" w:themeShade="BF"/>
      <w:sz w:val="24"/>
    </w:rPr>
  </w:style>
  <w:style w:type="character" w:customStyle="1" w:styleId="Heading6Char">
    <w:name w:val="Heading 6 Char"/>
    <w:basedOn w:val="DefaultParagraphFont"/>
    <w:link w:val="Heading6"/>
    <w:uiPriority w:val="9"/>
    <w:semiHidden/>
    <w:rsid w:val="00A56C85"/>
    <w:rPr>
      <w:rFonts w:asciiTheme="minorHAnsi" w:eastAsiaTheme="majorEastAsia" w:hAnsiTheme="minorHAnsi" w:cstheme="majorBidi"/>
      <w:i/>
      <w:iCs/>
      <w:color w:val="595959" w:themeColor="text1" w:themeTint="A6"/>
      <w:sz w:val="24"/>
    </w:rPr>
  </w:style>
  <w:style w:type="character" w:customStyle="1" w:styleId="Heading7Char">
    <w:name w:val="Heading 7 Char"/>
    <w:basedOn w:val="DefaultParagraphFont"/>
    <w:link w:val="Heading7"/>
    <w:uiPriority w:val="9"/>
    <w:semiHidden/>
    <w:rsid w:val="00A56C85"/>
    <w:rPr>
      <w:rFonts w:asciiTheme="minorHAnsi" w:eastAsiaTheme="majorEastAsia" w:hAnsiTheme="minorHAnsi" w:cstheme="majorBidi"/>
      <w:color w:val="595959" w:themeColor="text1" w:themeTint="A6"/>
      <w:sz w:val="24"/>
    </w:rPr>
  </w:style>
  <w:style w:type="character" w:customStyle="1" w:styleId="Heading8Char">
    <w:name w:val="Heading 8 Char"/>
    <w:basedOn w:val="DefaultParagraphFont"/>
    <w:link w:val="Heading8"/>
    <w:uiPriority w:val="9"/>
    <w:semiHidden/>
    <w:rsid w:val="00A56C85"/>
    <w:rPr>
      <w:rFonts w:asciiTheme="minorHAnsi" w:eastAsiaTheme="majorEastAsia" w:hAnsiTheme="minorHAnsi" w:cstheme="majorBidi"/>
      <w:i/>
      <w:iCs/>
      <w:color w:val="272727" w:themeColor="text1" w:themeTint="D8"/>
      <w:sz w:val="24"/>
    </w:rPr>
  </w:style>
  <w:style w:type="character" w:customStyle="1" w:styleId="Heading9Char">
    <w:name w:val="Heading 9 Char"/>
    <w:basedOn w:val="DefaultParagraphFont"/>
    <w:link w:val="Heading9"/>
    <w:uiPriority w:val="9"/>
    <w:semiHidden/>
    <w:rsid w:val="00A56C85"/>
    <w:rPr>
      <w:rFonts w:asciiTheme="minorHAnsi" w:eastAsiaTheme="majorEastAsia" w:hAnsiTheme="minorHAnsi" w:cstheme="majorBidi"/>
      <w:color w:val="272727" w:themeColor="text1" w:themeTint="D8"/>
      <w:sz w:val="24"/>
    </w:rPr>
  </w:style>
  <w:style w:type="paragraph" w:styleId="Title">
    <w:name w:val="Title"/>
    <w:basedOn w:val="Normal"/>
    <w:next w:val="Normal"/>
    <w:link w:val="TitleChar"/>
    <w:uiPriority w:val="10"/>
    <w:qFormat/>
    <w:rsid w:val="00A56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C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C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6C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6C85"/>
    <w:rPr>
      <w:rFonts w:ascii="Calibri" w:hAnsi="Calibri"/>
      <w:i/>
      <w:iCs/>
      <w:color w:val="404040" w:themeColor="text1" w:themeTint="BF"/>
      <w:sz w:val="24"/>
    </w:rPr>
  </w:style>
  <w:style w:type="paragraph" w:styleId="ListParagraph">
    <w:name w:val="List Paragraph"/>
    <w:basedOn w:val="Normal"/>
    <w:uiPriority w:val="34"/>
    <w:qFormat/>
    <w:rsid w:val="00A56C85"/>
    <w:pPr>
      <w:ind w:left="720"/>
      <w:contextualSpacing/>
    </w:pPr>
  </w:style>
  <w:style w:type="character" w:styleId="IntenseEmphasis">
    <w:name w:val="Intense Emphasis"/>
    <w:basedOn w:val="DefaultParagraphFont"/>
    <w:uiPriority w:val="21"/>
    <w:qFormat/>
    <w:rsid w:val="00A56C85"/>
    <w:rPr>
      <w:i/>
      <w:iCs/>
      <w:color w:val="2F5496" w:themeColor="accent1" w:themeShade="BF"/>
    </w:rPr>
  </w:style>
  <w:style w:type="paragraph" w:styleId="IntenseQuote">
    <w:name w:val="Intense Quote"/>
    <w:basedOn w:val="Normal"/>
    <w:next w:val="Normal"/>
    <w:link w:val="IntenseQuoteChar"/>
    <w:uiPriority w:val="30"/>
    <w:qFormat/>
    <w:rsid w:val="00A56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C85"/>
    <w:rPr>
      <w:rFonts w:ascii="Calibri" w:hAnsi="Calibri"/>
      <w:i/>
      <w:iCs/>
      <w:color w:val="2F5496" w:themeColor="accent1" w:themeShade="BF"/>
      <w:sz w:val="24"/>
    </w:rPr>
  </w:style>
  <w:style w:type="character" w:styleId="IntenseReference">
    <w:name w:val="Intense Reference"/>
    <w:basedOn w:val="DefaultParagraphFont"/>
    <w:uiPriority w:val="32"/>
    <w:qFormat/>
    <w:rsid w:val="00A56C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Ethics Comprehensive Exam Reading List</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Comprehensive Exam</dc:title>
  <dc:subject/>
  <dc:creator>Chandler, Joel M</dc:creator>
  <cp:keywords/>
  <dc:description/>
  <cp:lastModifiedBy>Chandler, Joel M</cp:lastModifiedBy>
  <cp:revision>2</cp:revision>
  <dcterms:created xsi:type="dcterms:W3CDTF">2026-07-11T19:34:00Z</dcterms:created>
  <dcterms:modified xsi:type="dcterms:W3CDTF">2026-07-11T19:58:00Z</dcterms:modified>
</cp:coreProperties>
</file>