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C4AA" w14:textId="039DEAFC" w:rsidR="00D324F0" w:rsidRPr="0003582F" w:rsidRDefault="003540C6" w:rsidP="004C2E06">
      <w:pPr>
        <w:autoSpaceDE w:val="0"/>
        <w:autoSpaceDN w:val="0"/>
        <w:adjustRightInd w:val="0"/>
        <w:spacing w:after="0" w:line="240" w:lineRule="auto"/>
        <w:rPr>
          <w:rFonts w:cstheme="minorHAnsi"/>
          <w:b/>
          <w:bCs/>
          <w:color w:val="000000" w:themeColor="text1"/>
          <w:sz w:val="32"/>
          <w:szCs w:val="32"/>
        </w:rPr>
      </w:pPr>
      <w:r w:rsidRPr="0003582F">
        <w:rPr>
          <w:rFonts w:cstheme="minorHAnsi"/>
          <w:b/>
          <w:bCs/>
          <w:color w:val="000000" w:themeColor="text1"/>
          <w:sz w:val="32"/>
          <w:szCs w:val="32"/>
        </w:rPr>
        <w:t xml:space="preserve">Guidelines for Course Numbering and Abbreviations, Suffixes, and Restricted Course Numbers </w:t>
      </w:r>
    </w:p>
    <w:p w14:paraId="583E317C" w14:textId="77777777" w:rsidR="005B7382" w:rsidRPr="00681A13" w:rsidRDefault="005B7382" w:rsidP="00D324F0">
      <w:pPr>
        <w:autoSpaceDE w:val="0"/>
        <w:autoSpaceDN w:val="0"/>
        <w:adjustRightInd w:val="0"/>
        <w:spacing w:after="0" w:line="240" w:lineRule="auto"/>
        <w:rPr>
          <w:rFonts w:cstheme="minorHAnsi"/>
          <w:b/>
          <w:bCs/>
          <w:sz w:val="24"/>
          <w:szCs w:val="24"/>
        </w:rPr>
      </w:pPr>
    </w:p>
    <w:p w14:paraId="2F4CB587" w14:textId="77777777" w:rsidR="00D324F0" w:rsidRPr="00681A13" w:rsidRDefault="00D324F0" w:rsidP="0003582F">
      <w:pPr>
        <w:autoSpaceDE w:val="0"/>
        <w:autoSpaceDN w:val="0"/>
        <w:adjustRightInd w:val="0"/>
        <w:spacing w:before="120" w:after="120" w:line="240" w:lineRule="auto"/>
        <w:rPr>
          <w:rFonts w:cstheme="minorHAnsi"/>
          <w:b/>
          <w:bCs/>
          <w:sz w:val="24"/>
          <w:szCs w:val="24"/>
        </w:rPr>
      </w:pPr>
      <w:r w:rsidRPr="00681A13">
        <w:rPr>
          <w:rFonts w:cstheme="minorHAnsi"/>
          <w:b/>
          <w:bCs/>
          <w:sz w:val="24"/>
          <w:szCs w:val="24"/>
        </w:rPr>
        <w:t>COURSE NUMBERING AND ABBREVIATIONS</w:t>
      </w:r>
    </w:p>
    <w:p w14:paraId="2FC987FB" w14:textId="77777777" w:rsidR="00D324F0" w:rsidRPr="00681A13" w:rsidRDefault="00D324F0" w:rsidP="0003582F">
      <w:pPr>
        <w:autoSpaceDE w:val="0"/>
        <w:autoSpaceDN w:val="0"/>
        <w:adjustRightInd w:val="0"/>
        <w:spacing w:before="120" w:after="120" w:line="240" w:lineRule="auto"/>
        <w:rPr>
          <w:rFonts w:cstheme="minorHAnsi"/>
          <w:sz w:val="24"/>
          <w:szCs w:val="24"/>
        </w:rPr>
      </w:pPr>
    </w:p>
    <w:p w14:paraId="617275E2" w14:textId="77777777"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681A13">
        <w:rPr>
          <w:rFonts w:cstheme="minorHAnsi"/>
          <w:sz w:val="24"/>
          <w:szCs w:val="24"/>
        </w:rPr>
        <w:t>Course Number</w:t>
      </w:r>
    </w:p>
    <w:p w14:paraId="0FA5B4F3" w14:textId="7A850597"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681A13">
        <w:rPr>
          <w:rFonts w:cstheme="minorHAnsi"/>
          <w:sz w:val="24"/>
          <w:szCs w:val="24"/>
        </w:rPr>
        <w:t>A four digit number</w:t>
      </w:r>
      <w:r w:rsidR="005B7382" w:rsidRPr="00681A13">
        <w:rPr>
          <w:rFonts w:cstheme="minorHAnsi"/>
          <w:sz w:val="24"/>
          <w:szCs w:val="24"/>
        </w:rPr>
        <w:t xml:space="preserve"> </w:t>
      </w:r>
      <w:r w:rsidRPr="00681A13">
        <w:rPr>
          <w:rFonts w:cstheme="minorHAnsi"/>
          <w:sz w:val="24"/>
          <w:szCs w:val="24"/>
        </w:rPr>
        <w:t>is used to identify the course. The</w:t>
      </w:r>
      <w:r w:rsidR="005B7382" w:rsidRPr="00681A13">
        <w:rPr>
          <w:rFonts w:cstheme="minorHAnsi"/>
          <w:sz w:val="24"/>
          <w:szCs w:val="24"/>
        </w:rPr>
        <w:t xml:space="preserve"> </w:t>
      </w:r>
      <w:r w:rsidRPr="00681A13">
        <w:rPr>
          <w:rFonts w:cstheme="minorHAnsi"/>
          <w:sz w:val="24"/>
          <w:szCs w:val="24"/>
        </w:rPr>
        <w:t>numbering of courses, and especially the assignment of level, is primarily a matter of tradition and</w:t>
      </w:r>
      <w:r w:rsidR="005B7382" w:rsidRPr="00681A13">
        <w:rPr>
          <w:rFonts w:cstheme="minorHAnsi"/>
          <w:sz w:val="24"/>
          <w:szCs w:val="24"/>
        </w:rPr>
        <w:t xml:space="preserve"> </w:t>
      </w:r>
      <w:r w:rsidRPr="00681A13">
        <w:rPr>
          <w:rFonts w:cstheme="minorHAnsi"/>
          <w:sz w:val="24"/>
          <w:szCs w:val="24"/>
        </w:rPr>
        <w:t xml:space="preserve">faculty judgment. Some departments </w:t>
      </w:r>
      <w:r w:rsidR="003540C6" w:rsidRPr="00681A13">
        <w:rPr>
          <w:rFonts w:cstheme="minorHAnsi"/>
          <w:sz w:val="24"/>
          <w:szCs w:val="24"/>
        </w:rPr>
        <w:t>may choose to utilize the second and third digits of the course number to indicate categories of related courses within a program</w:t>
      </w:r>
      <w:r w:rsidR="005B7382" w:rsidRPr="00681A13">
        <w:rPr>
          <w:rFonts w:cstheme="minorHAnsi"/>
          <w:sz w:val="24"/>
          <w:szCs w:val="24"/>
        </w:rPr>
        <w:t>.</w:t>
      </w:r>
      <w:r w:rsidR="003540C6" w:rsidRPr="00681A13">
        <w:rPr>
          <w:rFonts w:cstheme="minorHAnsi"/>
          <w:sz w:val="24"/>
          <w:szCs w:val="24"/>
        </w:rPr>
        <w:t xml:space="preserve"> </w:t>
      </w:r>
    </w:p>
    <w:p w14:paraId="1342B535" w14:textId="77777777" w:rsidR="0003582F" w:rsidRDefault="0003582F" w:rsidP="0003582F">
      <w:pPr>
        <w:autoSpaceDE w:val="0"/>
        <w:autoSpaceDN w:val="0"/>
        <w:adjustRightInd w:val="0"/>
        <w:spacing w:before="120" w:after="120" w:line="240" w:lineRule="auto"/>
        <w:ind w:left="270"/>
        <w:rPr>
          <w:rFonts w:cstheme="minorHAnsi"/>
          <w:sz w:val="24"/>
          <w:szCs w:val="24"/>
        </w:rPr>
      </w:pPr>
    </w:p>
    <w:p w14:paraId="631B75B0" w14:textId="792172EC"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681A13">
        <w:rPr>
          <w:rFonts w:cstheme="minorHAnsi"/>
          <w:sz w:val="24"/>
          <w:szCs w:val="24"/>
        </w:rPr>
        <w:t>Sub collegiate, undergraduate, graduate, and noncredit courses are numbered as shown below.</w:t>
      </w:r>
    </w:p>
    <w:p w14:paraId="2F7ECF9C" w14:textId="77777777"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0000–0999 </w:t>
      </w:r>
      <w:r w:rsidRPr="00681A13">
        <w:rPr>
          <w:rFonts w:cstheme="minorHAnsi"/>
          <w:sz w:val="24"/>
          <w:szCs w:val="24"/>
        </w:rPr>
        <w:t>Subcollegiate level (no credit allowed toward requirements for academic degrees).</w:t>
      </w:r>
    </w:p>
    <w:p w14:paraId="2EEF5203" w14:textId="77777777"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1000–2999 </w:t>
      </w:r>
      <w:r w:rsidRPr="00681A13">
        <w:rPr>
          <w:rFonts w:cstheme="minorHAnsi"/>
          <w:sz w:val="24"/>
          <w:szCs w:val="24"/>
        </w:rPr>
        <w:t>Lower division courses (freshman and sophomore level).</w:t>
      </w:r>
    </w:p>
    <w:p w14:paraId="2E2A1BBA" w14:textId="77777777"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3000–3999 </w:t>
      </w:r>
      <w:r w:rsidRPr="00681A13">
        <w:rPr>
          <w:rFonts w:cstheme="minorHAnsi"/>
          <w:sz w:val="24"/>
          <w:szCs w:val="24"/>
        </w:rPr>
        <w:t>Upper division courses (junior and senior level) that do not earn graduate credit.</w:t>
      </w:r>
    </w:p>
    <w:p w14:paraId="207671DC" w14:textId="77777777"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4000–4999 </w:t>
      </w:r>
      <w:r w:rsidRPr="00681A13">
        <w:rPr>
          <w:rFonts w:cstheme="minorHAnsi"/>
          <w:sz w:val="24"/>
          <w:szCs w:val="24"/>
        </w:rPr>
        <w:t>Upper division courses (junior and senior level) that may earn graduate credit for graduate students.</w:t>
      </w:r>
    </w:p>
    <w:p w14:paraId="7AFABCBD" w14:textId="5FB5A17A"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5000–5999 </w:t>
      </w:r>
      <w:r w:rsidRPr="00681A13">
        <w:rPr>
          <w:rFonts w:cstheme="minorHAnsi"/>
          <w:sz w:val="24"/>
          <w:szCs w:val="24"/>
        </w:rPr>
        <w:t xml:space="preserve">Graduate courses </w:t>
      </w:r>
      <w:r w:rsidR="003540C6" w:rsidRPr="00681A13">
        <w:rPr>
          <w:rFonts w:cstheme="minorHAnsi"/>
          <w:sz w:val="24"/>
          <w:szCs w:val="24"/>
        </w:rPr>
        <w:t>(graduate level)</w:t>
      </w:r>
      <w:r w:rsidRPr="00681A13">
        <w:rPr>
          <w:rFonts w:cstheme="minorHAnsi"/>
          <w:sz w:val="24"/>
          <w:szCs w:val="24"/>
        </w:rPr>
        <w:t>.</w:t>
      </w:r>
    </w:p>
    <w:p w14:paraId="0027AB3B" w14:textId="77777777"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6000–6999 </w:t>
      </w:r>
      <w:r w:rsidRPr="00681A13">
        <w:rPr>
          <w:rFonts w:cstheme="minorHAnsi"/>
          <w:sz w:val="24"/>
          <w:szCs w:val="24"/>
        </w:rPr>
        <w:t>Specialized graduate courses for postgraduate students matriculated in the joint Ph.D. program in Special Education or in any other approved doctoral program.</w:t>
      </w:r>
    </w:p>
    <w:p w14:paraId="7B8A4733" w14:textId="750E9752"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7000–7499 </w:t>
      </w:r>
      <w:r w:rsidRPr="00681A13">
        <w:rPr>
          <w:rFonts w:cstheme="minorHAnsi"/>
          <w:sz w:val="24"/>
          <w:szCs w:val="24"/>
        </w:rPr>
        <w:t>Courses intended primarily for lower division students. Not acceptable toward degree or</w:t>
      </w:r>
      <w:r w:rsidR="00EC5CF4" w:rsidRPr="00681A13">
        <w:rPr>
          <w:rFonts w:cstheme="minorHAnsi"/>
          <w:sz w:val="24"/>
          <w:szCs w:val="24"/>
        </w:rPr>
        <w:t xml:space="preserve"> </w:t>
      </w:r>
      <w:r w:rsidRPr="00681A13">
        <w:rPr>
          <w:rFonts w:cstheme="minorHAnsi"/>
          <w:sz w:val="24"/>
          <w:szCs w:val="24"/>
        </w:rPr>
        <w:t>credential programs at Cal State L.A., but acceptable for professional advancement credit. Unit</w:t>
      </w:r>
      <w:r w:rsidR="00EC5CF4" w:rsidRPr="00681A13">
        <w:rPr>
          <w:rFonts w:cstheme="minorHAnsi"/>
          <w:sz w:val="24"/>
          <w:szCs w:val="24"/>
        </w:rPr>
        <w:t xml:space="preserve"> </w:t>
      </w:r>
      <w:r w:rsidRPr="00681A13">
        <w:rPr>
          <w:rFonts w:cstheme="minorHAnsi"/>
          <w:sz w:val="24"/>
          <w:szCs w:val="24"/>
        </w:rPr>
        <w:t>value credit listed directly following course title on academic record is acceptable for</w:t>
      </w:r>
      <w:r w:rsidR="00EC5CF4" w:rsidRPr="00681A13">
        <w:rPr>
          <w:rFonts w:cstheme="minorHAnsi"/>
          <w:sz w:val="24"/>
          <w:szCs w:val="24"/>
        </w:rPr>
        <w:t xml:space="preserve"> </w:t>
      </w:r>
      <w:r w:rsidRPr="00681A13">
        <w:rPr>
          <w:rFonts w:cstheme="minorHAnsi"/>
          <w:sz w:val="24"/>
          <w:szCs w:val="24"/>
        </w:rPr>
        <w:t>professional advancement credit only when accompanied by CR (Credit) grade.</w:t>
      </w:r>
    </w:p>
    <w:p w14:paraId="6B30C77C" w14:textId="23060763" w:rsidR="00D324F0" w:rsidRPr="00681A13" w:rsidRDefault="00D324F0" w:rsidP="0003582F">
      <w:pPr>
        <w:autoSpaceDE w:val="0"/>
        <w:autoSpaceDN w:val="0"/>
        <w:adjustRightInd w:val="0"/>
        <w:spacing w:before="120" w:after="120" w:line="240" w:lineRule="auto"/>
        <w:ind w:left="270"/>
        <w:rPr>
          <w:rFonts w:cstheme="minorHAnsi"/>
          <w:sz w:val="24"/>
          <w:szCs w:val="24"/>
        </w:rPr>
      </w:pPr>
      <w:r w:rsidRPr="0003582F">
        <w:rPr>
          <w:rFonts w:cstheme="minorHAnsi"/>
          <w:b/>
          <w:bCs/>
          <w:color w:val="FF0000"/>
          <w:sz w:val="24"/>
          <w:szCs w:val="24"/>
        </w:rPr>
        <w:t xml:space="preserve">7500–7999 </w:t>
      </w:r>
      <w:r w:rsidRPr="00681A13">
        <w:rPr>
          <w:rFonts w:cstheme="minorHAnsi"/>
          <w:sz w:val="24"/>
          <w:szCs w:val="24"/>
        </w:rPr>
        <w:t>Courses intended primarily for upper division students. Not acceptable toward degree or credential programs at Cal State L.A., but acceptable for professional advancement credit. Unit</w:t>
      </w:r>
      <w:r w:rsidR="00EC5CF4" w:rsidRPr="00681A13">
        <w:rPr>
          <w:rFonts w:cstheme="minorHAnsi"/>
          <w:sz w:val="24"/>
          <w:szCs w:val="24"/>
        </w:rPr>
        <w:t xml:space="preserve"> </w:t>
      </w:r>
      <w:r w:rsidRPr="00681A13">
        <w:rPr>
          <w:rFonts w:cstheme="minorHAnsi"/>
          <w:sz w:val="24"/>
          <w:szCs w:val="24"/>
        </w:rPr>
        <w:t>value credit listed directly following course title on academic record is acceptable for</w:t>
      </w:r>
      <w:r w:rsidR="00EC5CF4" w:rsidRPr="00681A13">
        <w:rPr>
          <w:rFonts w:cstheme="minorHAnsi"/>
          <w:sz w:val="24"/>
          <w:szCs w:val="24"/>
        </w:rPr>
        <w:t xml:space="preserve"> </w:t>
      </w:r>
      <w:r w:rsidRPr="00681A13">
        <w:rPr>
          <w:rFonts w:cstheme="minorHAnsi"/>
          <w:sz w:val="24"/>
          <w:szCs w:val="24"/>
        </w:rPr>
        <w:t>professional advancement credit only when accompanied by CR (Credit) grade.</w:t>
      </w:r>
    </w:p>
    <w:p w14:paraId="3967CFDB" w14:textId="40B50053" w:rsidR="008D417F" w:rsidRPr="00681A13" w:rsidRDefault="00D324F0" w:rsidP="0003582F">
      <w:pPr>
        <w:autoSpaceDE w:val="0"/>
        <w:autoSpaceDN w:val="0"/>
        <w:adjustRightInd w:val="0"/>
        <w:spacing w:before="120" w:after="120" w:line="240" w:lineRule="auto"/>
        <w:ind w:left="270"/>
        <w:rPr>
          <w:rFonts w:cstheme="minorHAnsi"/>
          <w:color w:val="000000"/>
          <w:sz w:val="24"/>
          <w:szCs w:val="24"/>
        </w:rPr>
      </w:pPr>
      <w:r w:rsidRPr="0003582F">
        <w:rPr>
          <w:rFonts w:cstheme="minorHAnsi"/>
          <w:b/>
          <w:bCs/>
          <w:color w:val="FF0000"/>
          <w:sz w:val="24"/>
          <w:szCs w:val="24"/>
        </w:rPr>
        <w:t xml:space="preserve">8000–8999 </w:t>
      </w:r>
      <w:r w:rsidRPr="00681A13">
        <w:rPr>
          <w:rFonts w:cstheme="minorHAnsi"/>
          <w:color w:val="000000"/>
          <w:sz w:val="24"/>
          <w:szCs w:val="24"/>
        </w:rPr>
        <w:t>Highly specialized courses intended primarily for graduate students. Not acceptable toward degree programs at Cal State L.A., but acceptable for professional advancement credit. Unit</w:t>
      </w:r>
      <w:r w:rsidR="00EC5CF4" w:rsidRPr="00681A13">
        <w:rPr>
          <w:rFonts w:cstheme="minorHAnsi"/>
          <w:color w:val="000000"/>
          <w:sz w:val="24"/>
          <w:szCs w:val="24"/>
        </w:rPr>
        <w:t xml:space="preserve"> </w:t>
      </w:r>
      <w:r w:rsidRPr="00681A13">
        <w:rPr>
          <w:rFonts w:cstheme="minorHAnsi"/>
          <w:color w:val="000000"/>
          <w:sz w:val="24"/>
          <w:szCs w:val="24"/>
        </w:rPr>
        <w:t>value credit listed directly following course title on academic record is acceptable for</w:t>
      </w:r>
      <w:r w:rsidR="00EC5CF4" w:rsidRPr="00681A13">
        <w:rPr>
          <w:rFonts w:cstheme="minorHAnsi"/>
          <w:color w:val="000000"/>
          <w:sz w:val="24"/>
          <w:szCs w:val="24"/>
        </w:rPr>
        <w:t xml:space="preserve"> </w:t>
      </w:r>
      <w:r w:rsidRPr="00681A13">
        <w:rPr>
          <w:rFonts w:cstheme="minorHAnsi"/>
          <w:color w:val="000000"/>
          <w:sz w:val="24"/>
          <w:szCs w:val="24"/>
        </w:rPr>
        <w:t>professional advancement credit only when accompanied by CR (Credit) grade.</w:t>
      </w:r>
      <w:r w:rsidR="00EC5CF4" w:rsidRPr="00681A13">
        <w:rPr>
          <w:rFonts w:cstheme="minorHAnsi"/>
          <w:color w:val="000000"/>
          <w:sz w:val="24"/>
          <w:szCs w:val="24"/>
        </w:rPr>
        <w:t xml:space="preserve"> </w:t>
      </w:r>
      <w:r w:rsidR="008D417F" w:rsidRPr="00681A13">
        <w:rPr>
          <w:rFonts w:cstheme="minorHAnsi"/>
          <w:color w:val="000000"/>
          <w:sz w:val="24"/>
          <w:szCs w:val="24"/>
        </w:rPr>
        <w:t>Courses in the 7000 and 8000 series are not listed in this catalog; their descriptions are carried in extension service announcements when they are offered.</w:t>
      </w:r>
    </w:p>
    <w:p w14:paraId="680830A2" w14:textId="7EF0DB7E" w:rsidR="00D324F0" w:rsidRPr="00681A13" w:rsidRDefault="00D324F0" w:rsidP="0003582F">
      <w:pPr>
        <w:autoSpaceDE w:val="0"/>
        <w:autoSpaceDN w:val="0"/>
        <w:adjustRightInd w:val="0"/>
        <w:spacing w:before="120" w:after="120" w:line="240" w:lineRule="auto"/>
        <w:ind w:left="270"/>
        <w:rPr>
          <w:rFonts w:cstheme="minorHAnsi"/>
          <w:color w:val="000000"/>
          <w:sz w:val="24"/>
          <w:szCs w:val="24"/>
        </w:rPr>
      </w:pPr>
      <w:r w:rsidRPr="0003582F">
        <w:rPr>
          <w:rFonts w:cstheme="minorHAnsi"/>
          <w:b/>
          <w:bCs/>
          <w:color w:val="FF0000"/>
          <w:sz w:val="24"/>
          <w:szCs w:val="24"/>
        </w:rPr>
        <w:t xml:space="preserve">9000–9999 </w:t>
      </w:r>
      <w:r w:rsidRPr="00681A13">
        <w:rPr>
          <w:rFonts w:cstheme="minorHAnsi"/>
          <w:color w:val="000000"/>
          <w:sz w:val="24"/>
          <w:szCs w:val="24"/>
        </w:rPr>
        <w:t xml:space="preserve">Noncredit courses open to graduate students only. </w:t>
      </w:r>
    </w:p>
    <w:p w14:paraId="1D3E9869" w14:textId="77777777" w:rsidR="00D324F0" w:rsidRPr="00681A13" w:rsidRDefault="00D324F0" w:rsidP="0003582F">
      <w:pPr>
        <w:autoSpaceDE w:val="0"/>
        <w:autoSpaceDN w:val="0"/>
        <w:adjustRightInd w:val="0"/>
        <w:spacing w:before="120" w:after="120" w:line="240" w:lineRule="auto"/>
        <w:ind w:left="270"/>
        <w:rPr>
          <w:rFonts w:cstheme="minorHAnsi"/>
          <w:color w:val="000000"/>
          <w:sz w:val="24"/>
          <w:szCs w:val="24"/>
        </w:rPr>
      </w:pPr>
    </w:p>
    <w:p w14:paraId="0569BAA8" w14:textId="77777777" w:rsidR="00D324F0" w:rsidRPr="00681A13" w:rsidRDefault="00D324F0" w:rsidP="0003582F">
      <w:pPr>
        <w:autoSpaceDE w:val="0"/>
        <w:autoSpaceDN w:val="0"/>
        <w:adjustRightInd w:val="0"/>
        <w:spacing w:before="120" w:after="120" w:line="240" w:lineRule="auto"/>
        <w:ind w:left="270"/>
        <w:rPr>
          <w:rFonts w:cstheme="minorHAnsi"/>
          <w:b/>
          <w:bCs/>
          <w:color w:val="000000"/>
          <w:sz w:val="24"/>
          <w:szCs w:val="24"/>
        </w:rPr>
      </w:pPr>
      <w:r w:rsidRPr="00681A13">
        <w:rPr>
          <w:rFonts w:cstheme="minorHAnsi"/>
          <w:b/>
          <w:bCs/>
          <w:color w:val="000000"/>
          <w:sz w:val="24"/>
          <w:szCs w:val="24"/>
        </w:rPr>
        <w:lastRenderedPageBreak/>
        <w:t>Course Abbreviations</w:t>
      </w:r>
    </w:p>
    <w:p w14:paraId="442A6F96" w14:textId="1BBD007D" w:rsidR="00D324F0" w:rsidRPr="00681A13" w:rsidRDefault="00D324F0" w:rsidP="0003582F">
      <w:pPr>
        <w:autoSpaceDE w:val="0"/>
        <w:autoSpaceDN w:val="0"/>
        <w:adjustRightInd w:val="0"/>
        <w:spacing w:before="120" w:after="120" w:line="240" w:lineRule="auto"/>
        <w:ind w:left="270"/>
        <w:rPr>
          <w:rFonts w:cstheme="minorHAnsi"/>
          <w:color w:val="000000"/>
          <w:sz w:val="24"/>
          <w:szCs w:val="24"/>
        </w:rPr>
      </w:pPr>
      <w:r w:rsidRPr="00681A13">
        <w:rPr>
          <w:rFonts w:cstheme="minorHAnsi"/>
          <w:color w:val="000000"/>
          <w:sz w:val="24"/>
          <w:szCs w:val="24"/>
        </w:rPr>
        <w:t>Each academic discipline has an official program abbreviation that is used to identify the courses in that program or discipline in the catalog; on grade reports, transcripts, major program sheets, and many other documents; and in the Schedule of Classes. These course abbreviations must be used on all program change forms.</w:t>
      </w:r>
      <w:r w:rsidR="00EB410E" w:rsidRPr="00681A13">
        <w:rPr>
          <w:rFonts w:cstheme="minorHAnsi"/>
          <w:color w:val="000000"/>
          <w:sz w:val="24"/>
          <w:szCs w:val="24"/>
        </w:rPr>
        <w:t xml:space="preserve"> Course proposal forms must include the appropriate</w:t>
      </w:r>
      <w:r w:rsidRPr="00681A13">
        <w:rPr>
          <w:rFonts w:cstheme="minorHAnsi"/>
          <w:color w:val="000000"/>
          <w:sz w:val="24"/>
          <w:szCs w:val="24"/>
        </w:rPr>
        <w:t xml:space="preserve"> two</w:t>
      </w:r>
      <w:r w:rsidR="00EB410E" w:rsidRPr="00681A13">
        <w:rPr>
          <w:rFonts w:cstheme="minorHAnsi"/>
          <w:color w:val="000000"/>
          <w:sz w:val="24"/>
          <w:szCs w:val="24"/>
        </w:rPr>
        <w:t>-</w:t>
      </w:r>
      <w:r w:rsidRPr="00681A13">
        <w:rPr>
          <w:rFonts w:cstheme="minorHAnsi"/>
          <w:color w:val="000000"/>
          <w:sz w:val="24"/>
          <w:szCs w:val="24"/>
        </w:rPr>
        <w:t xml:space="preserve"> to four</w:t>
      </w:r>
      <w:r w:rsidR="00EB410E" w:rsidRPr="00681A13">
        <w:rPr>
          <w:rFonts w:cstheme="minorHAnsi"/>
          <w:color w:val="000000"/>
          <w:sz w:val="24"/>
          <w:szCs w:val="24"/>
        </w:rPr>
        <w:t>-</w:t>
      </w:r>
      <w:r w:rsidRPr="00681A13">
        <w:rPr>
          <w:rFonts w:cstheme="minorHAnsi"/>
          <w:color w:val="000000"/>
          <w:sz w:val="24"/>
          <w:szCs w:val="24"/>
        </w:rPr>
        <w:t xml:space="preserve">character standard abbreviation for the prefix of </w:t>
      </w:r>
      <w:r w:rsidR="00EB410E" w:rsidRPr="00681A13">
        <w:rPr>
          <w:rFonts w:cstheme="minorHAnsi"/>
          <w:color w:val="000000"/>
          <w:sz w:val="24"/>
          <w:szCs w:val="24"/>
        </w:rPr>
        <w:t>the</w:t>
      </w:r>
      <w:r w:rsidRPr="00681A13">
        <w:rPr>
          <w:rFonts w:cstheme="minorHAnsi"/>
          <w:color w:val="000000"/>
          <w:sz w:val="24"/>
          <w:szCs w:val="24"/>
        </w:rPr>
        <w:t xml:space="preserve"> program or department</w:t>
      </w:r>
      <w:r w:rsidR="00EB410E" w:rsidRPr="00681A13">
        <w:rPr>
          <w:rFonts w:cstheme="minorHAnsi"/>
          <w:color w:val="000000"/>
          <w:sz w:val="24"/>
          <w:szCs w:val="24"/>
        </w:rPr>
        <w:t xml:space="preserve"> that houses that course</w:t>
      </w:r>
      <w:r w:rsidRPr="00681A13">
        <w:rPr>
          <w:rFonts w:cstheme="minorHAnsi"/>
          <w:color w:val="000000"/>
          <w:sz w:val="24"/>
          <w:szCs w:val="24"/>
        </w:rPr>
        <w:t xml:space="preserve">. </w:t>
      </w:r>
    </w:p>
    <w:p w14:paraId="18939673" w14:textId="77777777" w:rsidR="0003582F" w:rsidRPr="00681A13" w:rsidRDefault="0003582F" w:rsidP="0003582F">
      <w:pPr>
        <w:autoSpaceDE w:val="0"/>
        <w:autoSpaceDN w:val="0"/>
        <w:adjustRightInd w:val="0"/>
        <w:spacing w:before="120" w:after="120" w:line="240" w:lineRule="auto"/>
        <w:rPr>
          <w:rFonts w:cstheme="minorHAnsi"/>
          <w:bCs/>
          <w:sz w:val="24"/>
          <w:szCs w:val="24"/>
        </w:rPr>
      </w:pPr>
    </w:p>
    <w:p w14:paraId="5DF64D35" w14:textId="25D35D41" w:rsidR="004C2E06" w:rsidRDefault="004C2E06" w:rsidP="0003582F">
      <w:pPr>
        <w:autoSpaceDE w:val="0"/>
        <w:autoSpaceDN w:val="0"/>
        <w:adjustRightInd w:val="0"/>
        <w:spacing w:before="120" w:after="120" w:line="240" w:lineRule="auto"/>
        <w:rPr>
          <w:rFonts w:cstheme="minorHAnsi"/>
          <w:b/>
          <w:bCs/>
          <w:sz w:val="24"/>
          <w:szCs w:val="24"/>
        </w:rPr>
      </w:pPr>
      <w:r w:rsidRPr="00681A13">
        <w:rPr>
          <w:rFonts w:cstheme="minorHAnsi"/>
          <w:b/>
          <w:bCs/>
          <w:sz w:val="24"/>
          <w:szCs w:val="24"/>
        </w:rPr>
        <w:t>SUFFIXES</w:t>
      </w:r>
    </w:p>
    <w:p w14:paraId="38AD5DC1" w14:textId="77777777" w:rsidR="0003582F" w:rsidRDefault="0003582F" w:rsidP="0003582F">
      <w:pPr>
        <w:autoSpaceDE w:val="0"/>
        <w:autoSpaceDN w:val="0"/>
        <w:adjustRightInd w:val="0"/>
        <w:spacing w:before="120" w:after="120" w:line="240" w:lineRule="auto"/>
        <w:rPr>
          <w:rFonts w:cstheme="minorHAnsi"/>
          <w:b/>
          <w:bCs/>
          <w:sz w:val="24"/>
          <w:szCs w:val="24"/>
        </w:rPr>
      </w:pPr>
    </w:p>
    <w:p w14:paraId="4CFCD03B" w14:textId="7733DF4C" w:rsidR="00D324F0" w:rsidRPr="00681A13" w:rsidRDefault="00EB410E" w:rsidP="0003582F">
      <w:pPr>
        <w:autoSpaceDE w:val="0"/>
        <w:autoSpaceDN w:val="0"/>
        <w:adjustRightInd w:val="0"/>
        <w:spacing w:before="120" w:after="120" w:line="240" w:lineRule="auto"/>
        <w:ind w:left="360"/>
        <w:rPr>
          <w:rFonts w:cstheme="minorHAnsi"/>
          <w:sz w:val="24"/>
          <w:szCs w:val="24"/>
        </w:rPr>
      </w:pPr>
      <w:r w:rsidRPr="00681A13">
        <w:rPr>
          <w:rFonts w:cstheme="minorHAnsi"/>
          <w:sz w:val="24"/>
          <w:szCs w:val="24"/>
        </w:rPr>
        <w:t>Some</w:t>
      </w:r>
      <w:r w:rsidR="004C2E06" w:rsidRPr="00681A13">
        <w:rPr>
          <w:rFonts w:cstheme="minorHAnsi"/>
          <w:sz w:val="24"/>
          <w:szCs w:val="24"/>
        </w:rPr>
        <w:t xml:space="preserve"> course numbers</w:t>
      </w:r>
      <w:r w:rsidRPr="00681A13">
        <w:rPr>
          <w:rFonts w:cstheme="minorHAnsi"/>
          <w:sz w:val="24"/>
          <w:szCs w:val="24"/>
        </w:rPr>
        <w:t xml:space="preserve"> may</w:t>
      </w:r>
      <w:r w:rsidR="004C2E06" w:rsidRPr="00681A13">
        <w:rPr>
          <w:rFonts w:cstheme="minorHAnsi"/>
          <w:sz w:val="24"/>
          <w:szCs w:val="24"/>
        </w:rPr>
        <w:t xml:space="preserve"> have letter </w:t>
      </w:r>
      <w:proofErr w:type="gramStart"/>
      <w:r w:rsidR="004C2E06" w:rsidRPr="00681A13">
        <w:rPr>
          <w:rFonts w:cstheme="minorHAnsi"/>
          <w:sz w:val="24"/>
          <w:szCs w:val="24"/>
        </w:rPr>
        <w:t>suffixes</w:t>
      </w:r>
      <w:proofErr w:type="gramEnd"/>
      <w:r w:rsidR="00EC5CF4" w:rsidRPr="00681A13">
        <w:rPr>
          <w:rFonts w:cstheme="minorHAnsi"/>
          <w:sz w:val="24"/>
          <w:szCs w:val="24"/>
        </w:rPr>
        <w:t xml:space="preserve"> </w:t>
      </w:r>
      <w:r w:rsidR="005B7382" w:rsidRPr="00681A13">
        <w:rPr>
          <w:rFonts w:cstheme="minorHAnsi"/>
          <w:sz w:val="24"/>
          <w:szCs w:val="24"/>
        </w:rPr>
        <w:t>and some are standard throughout the University</w:t>
      </w:r>
      <w:r w:rsidR="004C2E06" w:rsidRPr="00681A13">
        <w:rPr>
          <w:rFonts w:cstheme="minorHAnsi"/>
          <w:sz w:val="24"/>
          <w:szCs w:val="24"/>
        </w:rPr>
        <w:t xml:space="preserve">. </w:t>
      </w:r>
      <w:r w:rsidRPr="00681A13">
        <w:rPr>
          <w:rFonts w:cstheme="minorHAnsi"/>
          <w:sz w:val="24"/>
          <w:szCs w:val="24"/>
        </w:rPr>
        <w:t>These suffixes may be used to</w:t>
      </w:r>
      <w:r w:rsidR="004C2E06" w:rsidRPr="00681A13">
        <w:rPr>
          <w:rFonts w:cstheme="minorHAnsi"/>
          <w:sz w:val="24"/>
          <w:szCs w:val="24"/>
        </w:rPr>
        <w:t xml:space="preserve"> indicate special uses of the course within a particular</w:t>
      </w:r>
      <w:r w:rsidR="00D324F0" w:rsidRPr="00681A13">
        <w:rPr>
          <w:rFonts w:cstheme="minorHAnsi"/>
          <w:sz w:val="24"/>
          <w:szCs w:val="24"/>
        </w:rPr>
        <w:t xml:space="preserve"> </w:t>
      </w:r>
      <w:r w:rsidR="004C2E06" w:rsidRPr="00681A13">
        <w:rPr>
          <w:rFonts w:cstheme="minorHAnsi"/>
          <w:sz w:val="24"/>
          <w:szCs w:val="24"/>
        </w:rPr>
        <w:t>department</w:t>
      </w:r>
      <w:r w:rsidRPr="00681A13">
        <w:rPr>
          <w:rFonts w:cstheme="minorHAnsi"/>
          <w:sz w:val="24"/>
          <w:szCs w:val="24"/>
        </w:rPr>
        <w:t xml:space="preserve">. </w:t>
      </w:r>
      <w:r w:rsidR="00B05344" w:rsidRPr="00681A13">
        <w:rPr>
          <w:rFonts w:cstheme="minorHAnsi"/>
          <w:sz w:val="24"/>
          <w:szCs w:val="24"/>
        </w:rPr>
        <w:t>However, t</w:t>
      </w:r>
      <w:r w:rsidRPr="00681A13">
        <w:rPr>
          <w:rFonts w:cstheme="minorHAnsi"/>
          <w:sz w:val="24"/>
          <w:szCs w:val="24"/>
        </w:rPr>
        <w:t>o the extent possible, departments are encouraged to rely upon the four digit course number and the catalog description to convey the purpose and any special criteria or circumstances related to the offering of a specific course.</w:t>
      </w:r>
      <w:r w:rsidR="00B05344" w:rsidRPr="00681A13">
        <w:rPr>
          <w:rFonts w:cstheme="minorHAnsi"/>
          <w:sz w:val="24"/>
          <w:szCs w:val="24"/>
        </w:rPr>
        <w:t xml:space="preserve"> </w:t>
      </w:r>
    </w:p>
    <w:p w14:paraId="19CD4971" w14:textId="75450F62" w:rsidR="004C2E06" w:rsidRPr="00681A13" w:rsidRDefault="004C2E06" w:rsidP="0003582F">
      <w:pPr>
        <w:autoSpaceDE w:val="0"/>
        <w:autoSpaceDN w:val="0"/>
        <w:adjustRightInd w:val="0"/>
        <w:spacing w:before="120" w:after="120" w:line="240" w:lineRule="auto"/>
        <w:ind w:left="360"/>
        <w:rPr>
          <w:rFonts w:cstheme="minorHAnsi"/>
          <w:sz w:val="24"/>
          <w:szCs w:val="24"/>
        </w:rPr>
      </w:pPr>
      <w:r w:rsidRPr="0003582F">
        <w:rPr>
          <w:rFonts w:cstheme="minorHAnsi"/>
          <w:b/>
          <w:bCs/>
          <w:color w:val="FF0000"/>
          <w:sz w:val="24"/>
          <w:szCs w:val="24"/>
        </w:rPr>
        <w:t>A, B, C, D, E</w:t>
      </w:r>
      <w:r w:rsidRPr="00681A13">
        <w:rPr>
          <w:rFonts w:cstheme="minorHAnsi"/>
          <w:b/>
          <w:bCs/>
          <w:sz w:val="24"/>
          <w:szCs w:val="24"/>
        </w:rPr>
        <w:t xml:space="preserve"> </w:t>
      </w:r>
      <w:r w:rsidR="0003582F">
        <w:rPr>
          <w:rFonts w:cstheme="minorHAnsi"/>
          <w:b/>
          <w:bCs/>
          <w:sz w:val="24"/>
          <w:szCs w:val="24"/>
        </w:rPr>
        <w:t xml:space="preserve">   </w:t>
      </w:r>
      <w:r w:rsidRPr="00681A13">
        <w:rPr>
          <w:rFonts w:cstheme="minorHAnsi"/>
          <w:sz w:val="24"/>
          <w:szCs w:val="24"/>
        </w:rPr>
        <w:t>A sequence of courses in which A must be taken before B, B before C, etc., unless description</w:t>
      </w:r>
      <w:r w:rsidR="00D324F0" w:rsidRPr="00681A13">
        <w:rPr>
          <w:rFonts w:cstheme="minorHAnsi"/>
          <w:sz w:val="24"/>
          <w:szCs w:val="24"/>
        </w:rPr>
        <w:t xml:space="preserve"> </w:t>
      </w:r>
      <w:r w:rsidRPr="00681A13">
        <w:rPr>
          <w:rFonts w:cstheme="minorHAnsi"/>
          <w:sz w:val="24"/>
          <w:szCs w:val="24"/>
        </w:rPr>
        <w:t>indicates otherwise.</w:t>
      </w:r>
    </w:p>
    <w:p w14:paraId="2E5E5838" w14:textId="6B18027E" w:rsidR="004C2E06" w:rsidRPr="00681A13" w:rsidRDefault="004C2E06" w:rsidP="0003582F">
      <w:pPr>
        <w:autoSpaceDE w:val="0"/>
        <w:autoSpaceDN w:val="0"/>
        <w:adjustRightInd w:val="0"/>
        <w:spacing w:before="120" w:after="120" w:line="240" w:lineRule="auto"/>
        <w:ind w:left="360"/>
        <w:rPr>
          <w:rFonts w:cstheme="minorHAnsi"/>
          <w:sz w:val="24"/>
          <w:szCs w:val="24"/>
        </w:rPr>
      </w:pPr>
      <w:r w:rsidRPr="0003582F">
        <w:rPr>
          <w:rFonts w:cstheme="minorHAnsi"/>
          <w:b/>
          <w:bCs/>
          <w:color w:val="FF0000"/>
          <w:sz w:val="24"/>
          <w:szCs w:val="24"/>
        </w:rPr>
        <w:t>H</w:t>
      </w:r>
      <w:r w:rsidRPr="00681A13">
        <w:rPr>
          <w:rFonts w:cstheme="minorHAnsi"/>
          <w:b/>
          <w:bCs/>
          <w:sz w:val="24"/>
          <w:szCs w:val="24"/>
        </w:rPr>
        <w:t xml:space="preserve"> </w:t>
      </w:r>
      <w:r w:rsidR="0003582F">
        <w:rPr>
          <w:rFonts w:cstheme="minorHAnsi"/>
          <w:b/>
          <w:bCs/>
          <w:sz w:val="24"/>
          <w:szCs w:val="24"/>
        </w:rPr>
        <w:t xml:space="preserve">   </w:t>
      </w:r>
      <w:r w:rsidR="00EC5CF4" w:rsidRPr="00681A13">
        <w:rPr>
          <w:rFonts w:cstheme="minorHAnsi"/>
          <w:sz w:val="24"/>
          <w:szCs w:val="24"/>
        </w:rPr>
        <w:t>Specifically designed for Honors College students</w:t>
      </w:r>
    </w:p>
    <w:p w14:paraId="624980F8" w14:textId="38E58249" w:rsidR="0003582F" w:rsidRDefault="0003582F" w:rsidP="0003582F">
      <w:pPr>
        <w:autoSpaceDE w:val="0"/>
        <w:autoSpaceDN w:val="0"/>
        <w:adjustRightInd w:val="0"/>
        <w:spacing w:before="120" w:after="120" w:line="240" w:lineRule="auto"/>
        <w:ind w:left="360"/>
        <w:rPr>
          <w:rFonts w:cstheme="minorHAnsi"/>
          <w:b/>
          <w:bCs/>
          <w:sz w:val="24"/>
          <w:szCs w:val="24"/>
        </w:rPr>
      </w:pPr>
    </w:p>
    <w:p w14:paraId="23CAC326" w14:textId="6506D714" w:rsidR="004C2E06" w:rsidRDefault="004C2E06" w:rsidP="0003582F">
      <w:pPr>
        <w:autoSpaceDE w:val="0"/>
        <w:autoSpaceDN w:val="0"/>
        <w:adjustRightInd w:val="0"/>
        <w:spacing w:before="120" w:after="120" w:line="240" w:lineRule="auto"/>
        <w:rPr>
          <w:rFonts w:cstheme="minorHAnsi"/>
          <w:b/>
          <w:bCs/>
          <w:sz w:val="24"/>
          <w:szCs w:val="24"/>
        </w:rPr>
      </w:pPr>
      <w:r w:rsidRPr="00681A13">
        <w:rPr>
          <w:rFonts w:cstheme="minorHAnsi"/>
          <w:b/>
          <w:bCs/>
          <w:sz w:val="24"/>
          <w:szCs w:val="24"/>
        </w:rPr>
        <w:t>RESTRICTED COURSE NUMBERS</w:t>
      </w:r>
    </w:p>
    <w:p w14:paraId="5275FDC5" w14:textId="77777777" w:rsidR="0003582F" w:rsidRPr="00681A13" w:rsidRDefault="0003582F" w:rsidP="0003582F">
      <w:pPr>
        <w:autoSpaceDE w:val="0"/>
        <w:autoSpaceDN w:val="0"/>
        <w:adjustRightInd w:val="0"/>
        <w:spacing w:before="120" w:after="120" w:line="240" w:lineRule="auto"/>
        <w:rPr>
          <w:rFonts w:cstheme="minorHAnsi"/>
          <w:b/>
          <w:bCs/>
          <w:sz w:val="24"/>
          <w:szCs w:val="24"/>
        </w:rPr>
      </w:pPr>
    </w:p>
    <w:p w14:paraId="34AD603F" w14:textId="69202DA7" w:rsidR="004C2E06" w:rsidRPr="00681A13" w:rsidRDefault="004C2E06"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 xml:space="preserve">1. </w:t>
      </w:r>
      <w:r w:rsidRPr="0003582F">
        <w:rPr>
          <w:rFonts w:cstheme="minorHAnsi"/>
          <w:b/>
          <w:color w:val="FF0000"/>
          <w:sz w:val="24"/>
          <w:szCs w:val="24"/>
        </w:rPr>
        <w:t>295</w:t>
      </w:r>
      <w:r w:rsidR="00B05344" w:rsidRPr="0003582F">
        <w:rPr>
          <w:rFonts w:cstheme="minorHAnsi"/>
          <w:b/>
          <w:color w:val="FF0000"/>
          <w:sz w:val="24"/>
          <w:szCs w:val="24"/>
        </w:rPr>
        <w:t>0</w:t>
      </w:r>
      <w:r w:rsidRPr="00681A13">
        <w:rPr>
          <w:rFonts w:cstheme="minorHAnsi"/>
          <w:b/>
          <w:color w:val="C00000"/>
          <w:sz w:val="24"/>
          <w:szCs w:val="24"/>
        </w:rPr>
        <w:t xml:space="preserve"> </w:t>
      </w:r>
      <w:r w:rsidRPr="00681A13">
        <w:rPr>
          <w:rFonts w:cstheme="minorHAnsi"/>
          <w:color w:val="000000" w:themeColor="text1"/>
          <w:sz w:val="24"/>
          <w:szCs w:val="24"/>
        </w:rPr>
        <w:t>and</w:t>
      </w:r>
      <w:r w:rsidRPr="00681A13">
        <w:rPr>
          <w:rFonts w:cstheme="minorHAnsi"/>
          <w:b/>
          <w:color w:val="C00000"/>
          <w:sz w:val="24"/>
          <w:szCs w:val="24"/>
        </w:rPr>
        <w:t xml:space="preserve"> </w:t>
      </w:r>
      <w:r w:rsidRPr="0003582F">
        <w:rPr>
          <w:rFonts w:cstheme="minorHAnsi"/>
          <w:b/>
          <w:color w:val="FF0000"/>
          <w:sz w:val="24"/>
          <w:szCs w:val="24"/>
        </w:rPr>
        <w:t>395</w:t>
      </w:r>
      <w:r w:rsidR="00B05344" w:rsidRPr="0003582F">
        <w:rPr>
          <w:rFonts w:cstheme="minorHAnsi"/>
          <w:b/>
          <w:color w:val="FF0000"/>
          <w:sz w:val="24"/>
          <w:szCs w:val="24"/>
        </w:rPr>
        <w:t>0</w:t>
      </w:r>
      <w:r w:rsidRPr="00681A13">
        <w:rPr>
          <w:rFonts w:cstheme="minorHAnsi"/>
          <w:color w:val="C00000"/>
          <w:sz w:val="24"/>
          <w:szCs w:val="24"/>
        </w:rPr>
        <w:t xml:space="preserve"> </w:t>
      </w:r>
      <w:r w:rsidR="008D417F" w:rsidRPr="00681A13">
        <w:rPr>
          <w:rFonts w:cstheme="minorHAnsi"/>
          <w:sz w:val="24"/>
          <w:szCs w:val="24"/>
        </w:rPr>
        <w:t>Service Learning and Community Engagement</w:t>
      </w:r>
      <w:r w:rsidRPr="00681A13">
        <w:rPr>
          <w:rFonts w:cstheme="minorHAnsi"/>
          <w:sz w:val="24"/>
          <w:szCs w:val="24"/>
        </w:rPr>
        <w:t>.</w:t>
      </w:r>
    </w:p>
    <w:p w14:paraId="3D1894ED" w14:textId="2BA7A635" w:rsidR="004C2E06" w:rsidRPr="00681A13" w:rsidRDefault="004C2E06"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Departments that wish to make credit available to students working in volunteer capacities with local</w:t>
      </w:r>
      <w:r w:rsidR="00EC5CF4" w:rsidRPr="00681A13">
        <w:rPr>
          <w:rFonts w:cstheme="minorHAnsi"/>
          <w:sz w:val="24"/>
          <w:szCs w:val="24"/>
        </w:rPr>
        <w:t xml:space="preserve"> </w:t>
      </w:r>
      <w:r w:rsidRPr="00681A13">
        <w:rPr>
          <w:rFonts w:cstheme="minorHAnsi"/>
          <w:sz w:val="24"/>
          <w:szCs w:val="24"/>
        </w:rPr>
        <w:t>agencies may request that these courses be added to the curriculum. The agencies and specific placements</w:t>
      </w:r>
      <w:r w:rsidR="00B05344" w:rsidRPr="00681A13">
        <w:rPr>
          <w:rFonts w:cstheme="minorHAnsi"/>
          <w:sz w:val="24"/>
          <w:szCs w:val="24"/>
        </w:rPr>
        <w:t xml:space="preserve"> </w:t>
      </w:r>
      <w:r w:rsidRPr="00681A13">
        <w:rPr>
          <w:rFonts w:cstheme="minorHAnsi"/>
          <w:sz w:val="24"/>
          <w:szCs w:val="24"/>
        </w:rPr>
        <w:t xml:space="preserve">in them must have prior approval of both the Department Chair and the </w:t>
      </w:r>
      <w:r w:rsidR="008D417F" w:rsidRPr="00681A13">
        <w:rPr>
          <w:rFonts w:cstheme="minorHAnsi"/>
          <w:sz w:val="24"/>
          <w:szCs w:val="24"/>
        </w:rPr>
        <w:t xml:space="preserve">Faculty </w:t>
      </w:r>
      <w:r w:rsidRPr="00681A13">
        <w:rPr>
          <w:rFonts w:cstheme="minorHAnsi"/>
          <w:sz w:val="24"/>
          <w:szCs w:val="24"/>
        </w:rPr>
        <w:t xml:space="preserve">Director of </w:t>
      </w:r>
      <w:r w:rsidR="008D417F" w:rsidRPr="00681A13">
        <w:rPr>
          <w:rFonts w:cstheme="minorHAnsi"/>
          <w:sz w:val="24"/>
          <w:szCs w:val="24"/>
        </w:rPr>
        <w:t>Service Learning and Community Engagement</w:t>
      </w:r>
      <w:r w:rsidRPr="00681A13">
        <w:rPr>
          <w:rFonts w:cstheme="minorHAnsi"/>
          <w:sz w:val="24"/>
          <w:szCs w:val="24"/>
        </w:rPr>
        <w:t xml:space="preserve">. </w:t>
      </w:r>
      <w:r w:rsidR="008D417F" w:rsidRPr="00681A13">
        <w:rPr>
          <w:rFonts w:cstheme="minorHAnsi"/>
          <w:sz w:val="24"/>
          <w:szCs w:val="24"/>
        </w:rPr>
        <w:t>Students</w:t>
      </w:r>
      <w:r w:rsidRPr="00681A13">
        <w:rPr>
          <w:rFonts w:cstheme="minorHAnsi"/>
          <w:sz w:val="24"/>
          <w:szCs w:val="24"/>
        </w:rPr>
        <w:t xml:space="preserve"> would</w:t>
      </w:r>
      <w:r w:rsidR="00B05344" w:rsidRPr="00681A13">
        <w:rPr>
          <w:rFonts w:cstheme="minorHAnsi"/>
          <w:sz w:val="24"/>
          <w:szCs w:val="24"/>
        </w:rPr>
        <w:t xml:space="preserve"> </w:t>
      </w:r>
      <w:r w:rsidRPr="00681A13">
        <w:rPr>
          <w:rFonts w:cstheme="minorHAnsi"/>
          <w:sz w:val="24"/>
          <w:szCs w:val="24"/>
        </w:rPr>
        <w:t>work in community, educational, social service, and recreational activities</w:t>
      </w:r>
      <w:r w:rsidR="008D417F" w:rsidRPr="00681A13">
        <w:rPr>
          <w:rFonts w:cstheme="minorHAnsi"/>
          <w:sz w:val="24"/>
          <w:szCs w:val="24"/>
        </w:rPr>
        <w:t xml:space="preserve"> to receive academic credit</w:t>
      </w:r>
      <w:r w:rsidRPr="00681A13">
        <w:rPr>
          <w:rFonts w:cstheme="minorHAnsi"/>
          <w:sz w:val="24"/>
          <w:szCs w:val="24"/>
        </w:rPr>
        <w:t xml:space="preserve">. </w:t>
      </w:r>
    </w:p>
    <w:p w14:paraId="341E3F51" w14:textId="076FD362" w:rsidR="00A235C0" w:rsidRPr="00681A13" w:rsidRDefault="00A235C0"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 xml:space="preserve">2. </w:t>
      </w:r>
      <w:r w:rsidRPr="0003582F">
        <w:rPr>
          <w:rFonts w:cstheme="minorHAnsi"/>
          <w:b/>
          <w:color w:val="FF0000"/>
          <w:sz w:val="24"/>
          <w:szCs w:val="24"/>
        </w:rPr>
        <w:t>2980</w:t>
      </w:r>
      <w:r w:rsidRPr="00681A13">
        <w:rPr>
          <w:rFonts w:cstheme="minorHAnsi"/>
          <w:b/>
          <w:color w:val="C00000"/>
          <w:sz w:val="24"/>
          <w:szCs w:val="24"/>
        </w:rPr>
        <w:t xml:space="preserve"> </w:t>
      </w:r>
      <w:r w:rsidRPr="00681A13">
        <w:rPr>
          <w:rFonts w:cstheme="minorHAnsi"/>
          <w:sz w:val="24"/>
          <w:szCs w:val="24"/>
        </w:rPr>
        <w:t>Prerequisite for UNIV 3980</w:t>
      </w:r>
    </w:p>
    <w:p w14:paraId="73160A68" w14:textId="13CA604A" w:rsidR="004C2E06" w:rsidRPr="00681A13" w:rsidRDefault="00A235C0"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3</w:t>
      </w:r>
      <w:r w:rsidR="004C2E06" w:rsidRPr="00681A13">
        <w:rPr>
          <w:rFonts w:cstheme="minorHAnsi"/>
          <w:sz w:val="24"/>
          <w:szCs w:val="24"/>
        </w:rPr>
        <w:t xml:space="preserve">. </w:t>
      </w:r>
      <w:r w:rsidR="004C2E06" w:rsidRPr="0003582F">
        <w:rPr>
          <w:rFonts w:cstheme="minorHAnsi"/>
          <w:b/>
          <w:color w:val="FF0000"/>
          <w:sz w:val="24"/>
          <w:szCs w:val="24"/>
        </w:rPr>
        <w:t>398</w:t>
      </w:r>
      <w:r w:rsidR="00B05344" w:rsidRPr="0003582F">
        <w:rPr>
          <w:rFonts w:cstheme="minorHAnsi"/>
          <w:b/>
          <w:color w:val="FF0000"/>
          <w:sz w:val="24"/>
          <w:szCs w:val="24"/>
        </w:rPr>
        <w:t>0</w:t>
      </w:r>
      <w:r w:rsidR="004C2E06" w:rsidRPr="00681A13">
        <w:rPr>
          <w:rFonts w:cstheme="minorHAnsi"/>
          <w:b/>
          <w:color w:val="C00000"/>
          <w:sz w:val="24"/>
          <w:szCs w:val="24"/>
        </w:rPr>
        <w:t xml:space="preserve"> </w:t>
      </w:r>
      <w:r w:rsidR="004C2E06" w:rsidRPr="00681A13">
        <w:rPr>
          <w:rFonts w:cstheme="minorHAnsi"/>
          <w:color w:val="000000" w:themeColor="text1"/>
          <w:sz w:val="24"/>
          <w:szCs w:val="24"/>
        </w:rPr>
        <w:t>and</w:t>
      </w:r>
      <w:r w:rsidR="004C2E06" w:rsidRPr="00681A13">
        <w:rPr>
          <w:rFonts w:cstheme="minorHAnsi"/>
          <w:b/>
          <w:color w:val="C00000"/>
          <w:sz w:val="24"/>
          <w:szCs w:val="24"/>
        </w:rPr>
        <w:t xml:space="preserve"> </w:t>
      </w:r>
      <w:r w:rsidR="004C2E06" w:rsidRPr="0003582F">
        <w:rPr>
          <w:rFonts w:cstheme="minorHAnsi"/>
          <w:b/>
          <w:color w:val="FF0000"/>
          <w:sz w:val="24"/>
          <w:szCs w:val="24"/>
        </w:rPr>
        <w:t>498</w:t>
      </w:r>
      <w:r w:rsidR="00B05344" w:rsidRPr="0003582F">
        <w:rPr>
          <w:rFonts w:cstheme="minorHAnsi"/>
          <w:b/>
          <w:color w:val="FF0000"/>
          <w:sz w:val="24"/>
          <w:szCs w:val="24"/>
        </w:rPr>
        <w:t>0</w:t>
      </w:r>
      <w:r w:rsidR="004C2E06" w:rsidRPr="00681A13">
        <w:rPr>
          <w:rFonts w:cstheme="minorHAnsi"/>
          <w:color w:val="C00000"/>
          <w:sz w:val="24"/>
          <w:szCs w:val="24"/>
        </w:rPr>
        <w:t xml:space="preserve"> </w:t>
      </w:r>
      <w:r w:rsidR="004C2E06" w:rsidRPr="00681A13">
        <w:rPr>
          <w:rFonts w:cstheme="minorHAnsi"/>
          <w:sz w:val="24"/>
          <w:szCs w:val="24"/>
        </w:rPr>
        <w:t>Cooperative Education</w:t>
      </w:r>
    </w:p>
    <w:p w14:paraId="2F9A2E78" w14:textId="6EB2A670" w:rsidR="00F6629F" w:rsidRPr="00681A13" w:rsidRDefault="004C2E06"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These courses give credit for approved paid work experience that articulates with the student's major as on</w:t>
      </w:r>
      <w:r w:rsidR="00B05344" w:rsidRPr="00681A13">
        <w:rPr>
          <w:rFonts w:cstheme="minorHAnsi"/>
          <w:sz w:val="24"/>
          <w:szCs w:val="24"/>
        </w:rPr>
        <w:t>-</w:t>
      </w:r>
      <w:r w:rsidRPr="00681A13">
        <w:rPr>
          <w:rFonts w:cstheme="minorHAnsi"/>
          <w:sz w:val="24"/>
          <w:szCs w:val="24"/>
        </w:rPr>
        <w:t xml:space="preserve">the-job experience. A number of restrictions are provided in University policy; the </w:t>
      </w:r>
      <w:r w:rsidR="008D417F" w:rsidRPr="00681A13">
        <w:rPr>
          <w:rFonts w:cstheme="minorHAnsi"/>
          <w:sz w:val="24"/>
          <w:szCs w:val="24"/>
        </w:rPr>
        <w:t>department f</w:t>
      </w:r>
      <w:r w:rsidRPr="00681A13">
        <w:rPr>
          <w:rFonts w:cstheme="minorHAnsi"/>
          <w:sz w:val="24"/>
          <w:szCs w:val="24"/>
        </w:rPr>
        <w:t xml:space="preserve">aculty </w:t>
      </w:r>
      <w:r w:rsidR="008D417F" w:rsidRPr="00681A13">
        <w:rPr>
          <w:rFonts w:cstheme="minorHAnsi"/>
          <w:sz w:val="24"/>
          <w:szCs w:val="24"/>
        </w:rPr>
        <w:t>c</w:t>
      </w:r>
      <w:r w:rsidRPr="00681A13">
        <w:rPr>
          <w:rFonts w:cstheme="minorHAnsi"/>
          <w:sz w:val="24"/>
          <w:szCs w:val="24"/>
        </w:rPr>
        <w:t>ooperative</w:t>
      </w:r>
      <w:r w:rsidR="00B05344" w:rsidRPr="00681A13">
        <w:rPr>
          <w:rFonts w:cstheme="minorHAnsi"/>
          <w:sz w:val="24"/>
          <w:szCs w:val="24"/>
        </w:rPr>
        <w:t xml:space="preserve"> </w:t>
      </w:r>
      <w:r w:rsidR="008D417F" w:rsidRPr="00681A13">
        <w:rPr>
          <w:rFonts w:cstheme="minorHAnsi"/>
          <w:sz w:val="24"/>
          <w:szCs w:val="24"/>
        </w:rPr>
        <w:t>e</w:t>
      </w:r>
      <w:r w:rsidRPr="00681A13">
        <w:rPr>
          <w:rFonts w:cstheme="minorHAnsi"/>
          <w:sz w:val="24"/>
          <w:szCs w:val="24"/>
        </w:rPr>
        <w:t xml:space="preserve">ducation </w:t>
      </w:r>
      <w:r w:rsidR="008D417F" w:rsidRPr="00681A13">
        <w:rPr>
          <w:rFonts w:cstheme="minorHAnsi"/>
          <w:sz w:val="24"/>
          <w:szCs w:val="24"/>
        </w:rPr>
        <w:t>d</w:t>
      </w:r>
      <w:r w:rsidRPr="00681A13">
        <w:rPr>
          <w:rFonts w:cstheme="minorHAnsi"/>
          <w:sz w:val="24"/>
          <w:szCs w:val="24"/>
        </w:rPr>
        <w:t xml:space="preserve">irector should be contacted before this course is initiated. </w:t>
      </w:r>
    </w:p>
    <w:p w14:paraId="48F580A5" w14:textId="55DCA9D5" w:rsidR="004C2E06" w:rsidRPr="00681A13" w:rsidRDefault="00A235C0"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4</w:t>
      </w:r>
      <w:r w:rsidR="004C2E06" w:rsidRPr="00681A13">
        <w:rPr>
          <w:rFonts w:cstheme="minorHAnsi"/>
          <w:sz w:val="24"/>
          <w:szCs w:val="24"/>
        </w:rPr>
        <w:t xml:space="preserve">. </w:t>
      </w:r>
      <w:r w:rsidR="004C2E06" w:rsidRPr="0003582F">
        <w:rPr>
          <w:rFonts w:cstheme="minorHAnsi"/>
          <w:b/>
          <w:color w:val="FF0000"/>
          <w:sz w:val="24"/>
          <w:szCs w:val="24"/>
        </w:rPr>
        <w:t>499</w:t>
      </w:r>
      <w:r w:rsidR="00F6629F" w:rsidRPr="0003582F">
        <w:rPr>
          <w:rFonts w:cstheme="minorHAnsi"/>
          <w:b/>
          <w:color w:val="FF0000"/>
          <w:sz w:val="24"/>
          <w:szCs w:val="24"/>
        </w:rPr>
        <w:t>0</w:t>
      </w:r>
      <w:r w:rsidR="004C2E06" w:rsidRPr="00681A13">
        <w:rPr>
          <w:rFonts w:cstheme="minorHAnsi"/>
          <w:sz w:val="24"/>
          <w:szCs w:val="24"/>
        </w:rPr>
        <w:t xml:space="preserve"> Undergraduate Directed Study</w:t>
      </w:r>
      <w:r w:rsidR="00B05344" w:rsidRPr="00681A13">
        <w:rPr>
          <w:rFonts w:cstheme="minorHAnsi"/>
          <w:sz w:val="24"/>
          <w:szCs w:val="24"/>
        </w:rPr>
        <w:t xml:space="preserve"> </w:t>
      </w:r>
      <w:r w:rsidR="004C2E06" w:rsidRPr="00681A13">
        <w:rPr>
          <w:rFonts w:cstheme="minorHAnsi"/>
          <w:sz w:val="24"/>
          <w:szCs w:val="24"/>
        </w:rPr>
        <w:t>This course is already available in all departments. It has variable units and is properly used for faculty</w:t>
      </w:r>
      <w:r w:rsidR="00B05344" w:rsidRPr="00681A13">
        <w:rPr>
          <w:rFonts w:cstheme="minorHAnsi"/>
          <w:sz w:val="24"/>
          <w:szCs w:val="24"/>
        </w:rPr>
        <w:t>-</w:t>
      </w:r>
      <w:r w:rsidR="004C2E06" w:rsidRPr="00681A13">
        <w:rPr>
          <w:rFonts w:cstheme="minorHAnsi"/>
          <w:sz w:val="24"/>
          <w:szCs w:val="24"/>
        </w:rPr>
        <w:t>sponsored</w:t>
      </w:r>
      <w:r w:rsidR="00B05344" w:rsidRPr="00681A13">
        <w:rPr>
          <w:rFonts w:cstheme="minorHAnsi"/>
          <w:sz w:val="24"/>
          <w:szCs w:val="24"/>
        </w:rPr>
        <w:t xml:space="preserve"> </w:t>
      </w:r>
      <w:r w:rsidR="004C2E06" w:rsidRPr="00681A13">
        <w:rPr>
          <w:rFonts w:cstheme="minorHAnsi"/>
          <w:sz w:val="24"/>
          <w:szCs w:val="24"/>
        </w:rPr>
        <w:t>independent study, usually resulting in some written assignment or other production.</w:t>
      </w:r>
      <w:r w:rsidR="00B05344" w:rsidRPr="00681A13">
        <w:rPr>
          <w:rFonts w:cstheme="minorHAnsi"/>
          <w:sz w:val="24"/>
          <w:szCs w:val="24"/>
        </w:rPr>
        <w:t xml:space="preserve"> </w:t>
      </w:r>
      <w:r w:rsidR="004C2E06" w:rsidRPr="00681A13">
        <w:rPr>
          <w:rFonts w:cstheme="minorHAnsi"/>
          <w:sz w:val="24"/>
          <w:szCs w:val="24"/>
        </w:rPr>
        <w:t>Departmental permission to enroll is usually required.</w:t>
      </w:r>
    </w:p>
    <w:p w14:paraId="11C569C6" w14:textId="0D6C3E01" w:rsidR="004C2E06" w:rsidRPr="00681A13" w:rsidRDefault="00A235C0"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lastRenderedPageBreak/>
        <w:t>5</w:t>
      </w:r>
      <w:r w:rsidR="004C2E06" w:rsidRPr="00681A13">
        <w:rPr>
          <w:rFonts w:cstheme="minorHAnsi"/>
          <w:sz w:val="24"/>
          <w:szCs w:val="24"/>
        </w:rPr>
        <w:t xml:space="preserve">. </w:t>
      </w:r>
      <w:r w:rsidR="004C2E06" w:rsidRPr="0003582F">
        <w:rPr>
          <w:rFonts w:cstheme="minorHAnsi"/>
          <w:b/>
          <w:color w:val="FF0000"/>
          <w:sz w:val="24"/>
          <w:szCs w:val="24"/>
        </w:rPr>
        <w:t>596</w:t>
      </w:r>
      <w:r w:rsidR="00B05344" w:rsidRPr="0003582F">
        <w:rPr>
          <w:rFonts w:cstheme="minorHAnsi"/>
          <w:b/>
          <w:color w:val="FF0000"/>
          <w:sz w:val="24"/>
          <w:szCs w:val="24"/>
        </w:rPr>
        <w:t>0</w:t>
      </w:r>
      <w:r w:rsidR="004C2E06" w:rsidRPr="00681A13">
        <w:rPr>
          <w:rFonts w:cstheme="minorHAnsi"/>
          <w:sz w:val="24"/>
          <w:szCs w:val="24"/>
        </w:rPr>
        <w:t xml:space="preserve"> Comprehensive Examinations</w:t>
      </w:r>
    </w:p>
    <w:p w14:paraId="5D778F91" w14:textId="77777777" w:rsidR="004C2E06" w:rsidRPr="00681A13" w:rsidRDefault="004C2E06"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These exams are given to master degree candidates and cover all aspects of courses taken in the major.</w:t>
      </w:r>
      <w:r w:rsidR="00B05344" w:rsidRPr="00681A13">
        <w:rPr>
          <w:rFonts w:cstheme="minorHAnsi"/>
          <w:sz w:val="24"/>
          <w:szCs w:val="24"/>
        </w:rPr>
        <w:t xml:space="preserve"> </w:t>
      </w:r>
      <w:r w:rsidRPr="00681A13">
        <w:rPr>
          <w:rFonts w:cstheme="minorHAnsi"/>
          <w:sz w:val="24"/>
          <w:szCs w:val="24"/>
        </w:rPr>
        <w:t>Some departments require comprehensive examinations for undergraduate honors students.</w:t>
      </w:r>
    </w:p>
    <w:p w14:paraId="4ECBA82F" w14:textId="0C9355E1" w:rsidR="00B05344" w:rsidRPr="00681A13" w:rsidRDefault="00A235C0"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6</w:t>
      </w:r>
      <w:r w:rsidR="004C2E06" w:rsidRPr="00681A13">
        <w:rPr>
          <w:rFonts w:cstheme="minorHAnsi"/>
          <w:sz w:val="24"/>
          <w:szCs w:val="24"/>
        </w:rPr>
        <w:t xml:space="preserve">. </w:t>
      </w:r>
      <w:r w:rsidR="004C2E06" w:rsidRPr="0003582F">
        <w:rPr>
          <w:rFonts w:cstheme="minorHAnsi"/>
          <w:b/>
          <w:color w:val="FF0000"/>
          <w:sz w:val="24"/>
          <w:szCs w:val="24"/>
        </w:rPr>
        <w:t>597</w:t>
      </w:r>
      <w:r w:rsidR="00B05344" w:rsidRPr="0003582F">
        <w:rPr>
          <w:rFonts w:cstheme="minorHAnsi"/>
          <w:b/>
          <w:color w:val="FF0000"/>
          <w:sz w:val="24"/>
          <w:szCs w:val="24"/>
        </w:rPr>
        <w:t>0</w:t>
      </w:r>
      <w:r w:rsidR="004C2E06" w:rsidRPr="00681A13">
        <w:rPr>
          <w:rFonts w:cstheme="minorHAnsi"/>
          <w:sz w:val="24"/>
          <w:szCs w:val="24"/>
        </w:rPr>
        <w:t xml:space="preserve"> Graduate Research</w:t>
      </w:r>
      <w:r w:rsidR="00B05344" w:rsidRPr="00681A13">
        <w:rPr>
          <w:rFonts w:cstheme="minorHAnsi"/>
          <w:sz w:val="24"/>
          <w:szCs w:val="24"/>
        </w:rPr>
        <w:t xml:space="preserve"> </w:t>
      </w:r>
      <w:r w:rsidR="004C2E06" w:rsidRPr="00681A13">
        <w:rPr>
          <w:rFonts w:cstheme="minorHAnsi"/>
          <w:sz w:val="24"/>
          <w:szCs w:val="24"/>
        </w:rPr>
        <w:t>Independent research under guidance of the faculty.</w:t>
      </w:r>
      <w:r w:rsidR="00B05344" w:rsidRPr="00681A13">
        <w:rPr>
          <w:rFonts w:cstheme="minorHAnsi"/>
          <w:sz w:val="24"/>
          <w:szCs w:val="24"/>
        </w:rPr>
        <w:t xml:space="preserve"> </w:t>
      </w:r>
    </w:p>
    <w:p w14:paraId="75FFEC3C" w14:textId="0B523DFB" w:rsidR="004C2E06" w:rsidRPr="00681A13" w:rsidRDefault="00A235C0"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7</w:t>
      </w:r>
      <w:r w:rsidR="004C2E06" w:rsidRPr="00681A13">
        <w:rPr>
          <w:rFonts w:cstheme="minorHAnsi"/>
          <w:sz w:val="24"/>
          <w:szCs w:val="24"/>
        </w:rPr>
        <w:t xml:space="preserve">. </w:t>
      </w:r>
      <w:r w:rsidR="004C2E06" w:rsidRPr="0003582F">
        <w:rPr>
          <w:rFonts w:cstheme="minorHAnsi"/>
          <w:b/>
          <w:color w:val="FF0000"/>
          <w:sz w:val="24"/>
          <w:szCs w:val="24"/>
        </w:rPr>
        <w:t>598</w:t>
      </w:r>
      <w:r w:rsidR="00B05344" w:rsidRPr="0003582F">
        <w:rPr>
          <w:rFonts w:cstheme="minorHAnsi"/>
          <w:b/>
          <w:color w:val="FF0000"/>
          <w:sz w:val="24"/>
          <w:szCs w:val="24"/>
        </w:rPr>
        <w:t>0</w:t>
      </w:r>
      <w:r w:rsidR="004C2E06" w:rsidRPr="00681A13">
        <w:rPr>
          <w:rFonts w:cstheme="minorHAnsi"/>
          <w:sz w:val="24"/>
          <w:szCs w:val="24"/>
        </w:rPr>
        <w:t xml:space="preserve"> Graduate Directed Study</w:t>
      </w:r>
      <w:r w:rsidR="00B05344" w:rsidRPr="00681A13">
        <w:rPr>
          <w:rFonts w:cstheme="minorHAnsi"/>
          <w:sz w:val="24"/>
          <w:szCs w:val="24"/>
        </w:rPr>
        <w:t xml:space="preserve"> </w:t>
      </w:r>
      <w:r w:rsidR="004C2E06" w:rsidRPr="00681A13">
        <w:rPr>
          <w:rFonts w:cstheme="minorHAnsi"/>
          <w:sz w:val="24"/>
          <w:szCs w:val="24"/>
        </w:rPr>
        <w:t>Similar to 499</w:t>
      </w:r>
      <w:r w:rsidR="00F6629F" w:rsidRPr="00681A13">
        <w:rPr>
          <w:rFonts w:cstheme="minorHAnsi"/>
          <w:sz w:val="24"/>
          <w:szCs w:val="24"/>
        </w:rPr>
        <w:t>0</w:t>
      </w:r>
      <w:r w:rsidR="004C2E06" w:rsidRPr="00681A13">
        <w:rPr>
          <w:rFonts w:cstheme="minorHAnsi"/>
          <w:sz w:val="24"/>
          <w:szCs w:val="24"/>
        </w:rPr>
        <w:t>, but at a more advanced level.</w:t>
      </w:r>
    </w:p>
    <w:p w14:paraId="7616BFD7" w14:textId="6D208439" w:rsidR="004C2E06" w:rsidRPr="00681A13" w:rsidRDefault="00A235C0" w:rsidP="0003582F">
      <w:pPr>
        <w:autoSpaceDE w:val="0"/>
        <w:autoSpaceDN w:val="0"/>
        <w:adjustRightInd w:val="0"/>
        <w:spacing w:before="120" w:after="120" w:line="240" w:lineRule="auto"/>
        <w:ind w:left="450"/>
        <w:rPr>
          <w:rFonts w:cstheme="minorHAnsi"/>
          <w:sz w:val="24"/>
          <w:szCs w:val="24"/>
        </w:rPr>
      </w:pPr>
      <w:r w:rsidRPr="00681A13">
        <w:rPr>
          <w:rFonts w:cstheme="minorHAnsi"/>
          <w:sz w:val="24"/>
          <w:szCs w:val="24"/>
        </w:rPr>
        <w:t>8</w:t>
      </w:r>
      <w:r w:rsidR="004C2E06" w:rsidRPr="00681A13">
        <w:rPr>
          <w:rFonts w:cstheme="minorHAnsi"/>
          <w:sz w:val="24"/>
          <w:szCs w:val="24"/>
        </w:rPr>
        <w:t xml:space="preserve">. </w:t>
      </w:r>
      <w:r w:rsidR="004C2E06" w:rsidRPr="0003582F">
        <w:rPr>
          <w:rFonts w:cstheme="minorHAnsi"/>
          <w:b/>
          <w:color w:val="FF0000"/>
          <w:sz w:val="24"/>
          <w:szCs w:val="24"/>
        </w:rPr>
        <w:t>599</w:t>
      </w:r>
      <w:r w:rsidR="00B05344" w:rsidRPr="0003582F">
        <w:rPr>
          <w:rFonts w:cstheme="minorHAnsi"/>
          <w:b/>
          <w:color w:val="FF0000"/>
          <w:sz w:val="24"/>
          <w:szCs w:val="24"/>
        </w:rPr>
        <w:t>0</w:t>
      </w:r>
      <w:r w:rsidR="004C2E06" w:rsidRPr="00681A13">
        <w:rPr>
          <w:rFonts w:cstheme="minorHAnsi"/>
          <w:sz w:val="24"/>
          <w:szCs w:val="24"/>
        </w:rPr>
        <w:t xml:space="preserve"> Thesis (or Project)</w:t>
      </w:r>
      <w:r w:rsidR="00B05344" w:rsidRPr="00681A13">
        <w:rPr>
          <w:rFonts w:cstheme="minorHAnsi"/>
          <w:sz w:val="24"/>
          <w:szCs w:val="24"/>
        </w:rPr>
        <w:t xml:space="preserve"> </w:t>
      </w:r>
      <w:r w:rsidR="004C2E06" w:rsidRPr="00681A13">
        <w:rPr>
          <w:rFonts w:cstheme="minorHAnsi"/>
          <w:sz w:val="24"/>
          <w:szCs w:val="24"/>
        </w:rPr>
        <w:t>Used by departments whose graduate requirements include a thesis or project. This course has a restricted</w:t>
      </w:r>
      <w:r w:rsidR="00B05344" w:rsidRPr="00681A13">
        <w:rPr>
          <w:rFonts w:cstheme="minorHAnsi"/>
          <w:sz w:val="24"/>
          <w:szCs w:val="24"/>
        </w:rPr>
        <w:t xml:space="preserve"> </w:t>
      </w:r>
      <w:r w:rsidR="004C2E06" w:rsidRPr="00681A13">
        <w:rPr>
          <w:rFonts w:cstheme="minorHAnsi"/>
          <w:sz w:val="24"/>
          <w:szCs w:val="24"/>
        </w:rPr>
        <w:t>use; the Associate Dean for Graduate Studies should be consulted for current regulation.</w:t>
      </w:r>
    </w:p>
    <w:sectPr w:rsidR="004C2E06" w:rsidRPr="00681A13" w:rsidSect="0003582F">
      <w:pgSz w:w="12240" w:h="15840" w:code="1"/>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E06"/>
    <w:rsid w:val="0003582F"/>
    <w:rsid w:val="00230FB5"/>
    <w:rsid w:val="003540C6"/>
    <w:rsid w:val="00430492"/>
    <w:rsid w:val="004C2E06"/>
    <w:rsid w:val="005B7382"/>
    <w:rsid w:val="00681A13"/>
    <w:rsid w:val="008D417F"/>
    <w:rsid w:val="008E306E"/>
    <w:rsid w:val="0091363C"/>
    <w:rsid w:val="009E1C47"/>
    <w:rsid w:val="00A235C0"/>
    <w:rsid w:val="00B05344"/>
    <w:rsid w:val="00CA259C"/>
    <w:rsid w:val="00CA6192"/>
    <w:rsid w:val="00D324F0"/>
    <w:rsid w:val="00EB410E"/>
    <w:rsid w:val="00EC5CF4"/>
    <w:rsid w:val="00F6629F"/>
    <w:rsid w:val="00F811B7"/>
    <w:rsid w:val="00F8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5BA4B"/>
  <w15:docId w15:val="{0F8A5F30-4FCA-4924-9E67-AF7317E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FB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F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Steven</dc:creator>
  <cp:lastModifiedBy>Tam, Esther</cp:lastModifiedBy>
  <cp:revision>4</cp:revision>
  <dcterms:created xsi:type="dcterms:W3CDTF">2014-04-09T21:01:00Z</dcterms:created>
  <dcterms:modified xsi:type="dcterms:W3CDTF">2022-10-04T08:04:00Z</dcterms:modified>
</cp:coreProperties>
</file>