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721"/>
        <w:pBdr/>
        <w:spacing/>
        <w:ind/>
        <w:rPr/>
      </w:pPr>
      <w:r>
        <w:t xml:space="preserve">Aaron Huey Sonnenschein</w:t>
      </w:r>
      <w:r/>
    </w:p>
    <w:p>
      <w:pPr>
        <w:keepLines w:val="false"/>
        <w:pBdr/>
        <w:spacing w:after="100"/>
        <w:ind/>
        <w:rPr/>
      </w:pPr>
      <w:r>
        <w:rPr>
          <w:b/>
        </w:rPr>
        <w:t xml:space="preserve">Professor and Chair, Department of Anthropology</w:t>
      </w:r>
      <w:r>
        <w:br/>
        <w:t xml:space="preserve">California State University, Los Angeles</w:t>
        <w:br/>
        <w:t xml:space="preserve">Affiliate Faculty, Latin American Studies</w:t>
      </w:r>
      <w:r/>
    </w:p>
    <w:p>
      <w:pPr>
        <w:keepLines w:val="false"/>
        <w:pBdr/>
        <w:spacing w:after="120"/>
        <w:ind/>
        <w:rPr/>
      </w:pPr>
      <w:r>
        <w:rPr>
          <w:sz w:val="20"/>
        </w:rPr>
        <w:t xml:space="preserve">asonnen@calstatela.edu  |  +1 213 249 8804</w:t>
        <w:br/>
        <w:t xml:space="preserve">5151 State University Drive, Los Angeles, CA 90032</w:t>
      </w:r>
      <w:r/>
    </w:p>
    <w:p>
      <w:pPr>
        <w:keepLines w:val="false"/>
        <w:pBdr/>
        <w:spacing w:after="100"/>
        <w:ind/>
        <w:rPr/>
      </w:pPr>
      <w:r>
        <w:rPr>
          <w:b/>
        </w:rPr>
        <w:t xml:space="preserve">Curriculum Vitae</w:t>
      </w:r>
      <w:r/>
    </w:p>
    <w:p>
      <w:pPr>
        <w:pStyle w:val="705"/>
        <w:pBdr/>
        <w:spacing/>
        <w:ind/>
        <w:rPr/>
      </w:pPr>
      <w:r>
        <w:t xml:space="preserve">Research Profile</w:t>
      </w:r>
      <w:r/>
    </w:p>
    <w:p>
      <w:pPr>
        <w:keepLines w:val="true"/>
        <w:pBdr/>
        <w:spacing w:after="100"/>
        <w:ind/>
        <w:rPr/>
      </w:pPr>
      <w:r>
        <w:t xml:space="preserve">Linguistic anthropol</w:t>
      </w:r>
      <w:r>
        <w:t xml:space="preserve">ogist specializing in Indigenous language documentation and reclamation, Indigenous education, and community media. Nearly three decades of collaboration with communities in Oaxaca and California have included returning archival recordings, supporting comm</w:t>
      </w:r>
      <w:r>
        <w:t xml:space="preserve">unity documentation, developing language teaching materials, and training students and language advocates. Current work connects these partnerships with Indigenous language reclamation and media practice in Taiwan through reciprocal international exchange.</w:t>
      </w:r>
      <w:r/>
    </w:p>
    <w:p>
      <w:pPr>
        <w:pStyle w:val="705"/>
        <w:pBdr/>
        <w:spacing/>
        <w:ind/>
        <w:rPr/>
      </w:pPr>
      <w:r>
        <w:t xml:space="preserve">Taiwan Fellowship</w:t>
      </w:r>
      <w:r/>
    </w:p>
    <w:p>
      <w:pPr>
        <w:keepNext w:val="true"/>
        <w:pBdr/>
        <w:spacing w:after="40"/>
        <w:ind/>
        <w:rPr/>
      </w:pPr>
      <w:r>
        <w:rPr>
          <w:b/>
        </w:rPr>
        <w:t xml:space="preserve">2027  Taiwan Fellow, Ministry of Foreign Affairs, Taiwan</w:t>
      </w:r>
      <w:r/>
    </w:p>
    <w:p>
      <w:pPr>
        <w:keepLines w:val="true"/>
        <w:pBdr/>
        <w:spacing w:after="140"/>
        <w:ind/>
        <w:rPr/>
      </w:pPr>
      <w:r>
        <w:t xml:space="preserve">Research on Indigenous language reclamation in Taiwan through community-controlled audiovisual documentation, arts-informed digital storytelling, and the educational potential of immersive media. The project examines how language</w:t>
      </w:r>
      <w:r>
        <w:t xml:space="preserve"> materials support classroom learning and intergenerational transmission, with attention to community authority, consent, access, and sustainable use. It brings Taiwan-based practices into dialogue with collaborative language work in Oaxaca and California.</w:t>
      </w:r>
      <w:r/>
    </w:p>
    <w:p>
      <w:pPr>
        <w:pStyle w:val="705"/>
        <w:pBdr/>
        <w:spacing/>
        <w:ind/>
        <w:rPr/>
      </w:pPr>
      <w:r>
        <w:t xml:space="preserve">Academic and Research Leadership</w:t>
      </w:r>
      <w:r/>
    </w:p>
    <w:p>
      <w:pPr>
        <w:keepLines w:val="true"/>
        <w:pBdr/>
        <w:spacing w:after="100"/>
        <w:ind/>
        <w:rPr/>
      </w:pPr>
      <w:r>
        <w:rPr>
          <w:b/>
        </w:rPr>
        <w:t xml:space="preserve">2022–present</w:t>
      </w:r>
      <w:r>
        <w:t xml:space="preserve">  Chair, Department of Anthropology, California State University, Los Angeles.</w:t>
        <w:br/>
      </w:r>
      <w:r>
        <w:rPr>
          <w:b/>
        </w:rPr>
        <w:t xml:space="preserve">Current</w:t>
      </w:r>
      <w:r>
        <w:t xml:space="preserve">  Professor of Anthropology and Affiliate Faculty in Latin American Studies, California State University, Los Angeles.</w:t>
      </w:r>
      <w:r/>
    </w:p>
    <w:p>
      <w:pPr>
        <w:keepLines w:val="true"/>
        <w:pBdr/>
        <w:spacing w:after="100"/>
        <w:ind/>
        <w:rPr/>
      </w:pPr>
      <w:r>
        <w:rPr>
          <w:b/>
        </w:rPr>
        <w:t xml:space="preserve">2018–present</w:t>
      </w:r>
      <w:r>
        <w:t xml:space="preserve">  Founder and Director, </w:t>
      </w:r>
      <w:hyperlink r:id="rId11" w:tooltip="https://www.calstatela.edu/research/ladores" w:history="1">
        <w:r>
          <w:rPr>
            <w:color w:val="1f4e79"/>
            <w:u w:val="single"/>
          </w:rPr>
          <w:t xml:space="preserve">Language Documentation and Revitalization Space (LADORES)</w:t>
        </w:r>
      </w:hyperlink>
      <w:r>
        <w:t xml:space="preserve">. Direct a community language center and linguistic anthropology lab supporting audiovisual documentation, pedagogical resources, public digital scholarship, and partnerships in Oaxaca and Los Angeles.</w:t>
      </w:r>
      <w:r/>
    </w:p>
    <w:p>
      <w:pPr>
        <w:pStyle w:val="705"/>
        <w:pBdr/>
        <w:spacing/>
        <w:ind/>
        <w:rPr/>
      </w:pPr>
      <w:r>
        <w:t xml:space="preserve">Education</w:t>
      </w:r>
      <w:r/>
    </w:p>
    <w:p>
      <w:pPr>
        <w:keepLines w:val="true"/>
        <w:pBdr/>
        <w:spacing w:after="100"/>
        <w:ind/>
        <w:rPr/>
      </w:pPr>
      <w:r>
        <w:rPr>
          <w:b/>
        </w:rPr>
        <w:t xml:space="preserve">2004</w:t>
      </w:r>
      <w:r>
        <w:t xml:space="preserve">  Ph.D., Linguistics, University of Southern California.</w:t>
        <w:br/>
      </w:r>
      <w:r>
        <w:rPr>
          <w:b/>
        </w:rPr>
        <w:t xml:space="preserve">1996</w:t>
      </w:r>
      <w:r>
        <w:t xml:space="preserve">  M.A., Linguistics, University of Southern California.</w:t>
        <w:br/>
      </w:r>
      <w:r>
        <w:rPr>
          <w:b/>
        </w:rPr>
        <w:t xml:space="preserve">1993</w:t>
      </w:r>
      <w:r>
        <w:t xml:space="preserve">  B.A., Linguistics, University of California, Berkeley.</w:t>
      </w:r>
      <w:r/>
    </w:p>
    <w:p>
      <w:pPr>
        <w:pStyle w:val="705"/>
        <w:pBdr/>
        <w:spacing/>
        <w:ind/>
        <w:rPr/>
      </w:pPr>
      <w:r>
        <w:t xml:space="preserve">Selected Earlier Appointments</w:t>
      </w:r>
      <w:r/>
    </w:p>
    <w:p>
      <w:pPr>
        <w:keepLines w:val="true"/>
        <w:pBdr/>
        <w:spacing w:after="0"/>
        <w:ind/>
        <w:rPr/>
      </w:pPr>
      <w:r>
        <w:rPr>
          <w:b/>
        </w:rPr>
        <w:t xml:space="preserve">2008–2017</w:t>
      </w:r>
      <w:r>
        <w:t xml:space="preserve">  Assistant Professor, then Associate Professor, Department of English, California State University, Los Angeles.</w:t>
        <w:br/>
      </w:r>
      <w:r>
        <w:rPr>
          <w:b/>
        </w:rPr>
        <w:t xml:space="preserve">2006–2007</w:t>
      </w:r>
      <w:r>
        <w:t xml:space="preserve">  Adjunct Faculty, Department of Linguistics, University of California, Los Angeles.</w:t>
      </w:r>
      <w:r/>
    </w:p>
    <w:p>
      <w:pPr>
        <w:pBdr/>
        <w:spacing w:after="0" w:before="0" w:line="240" w:lineRule="auto"/>
        <w:ind/>
        <w:rPr/>
      </w:pPr>
      <w:r/>
      <w:r/>
    </w:p>
    <w:p>
      <w:pPr>
        <w:pStyle w:val="705"/>
        <w:pBdr/>
        <w:spacing/>
        <w:ind/>
        <w:rPr/>
      </w:pPr>
      <w:r>
        <w:t xml:space="preserve">Community Research and International Partnerships</w:t>
      </w:r>
      <w:r/>
    </w:p>
    <w:p>
      <w:pPr>
        <w:keepNext w:val="true"/>
        <w:pBdr/>
        <w:spacing w:after="40"/>
        <w:ind/>
        <w:rPr/>
      </w:pPr>
      <w:r>
        <w:rPr>
          <w:b/>
        </w:rPr>
        <w:t xml:space="preserve">Dual Language Immersion in the Mixtec Highlands</w:t>
      </w:r>
      <w:r/>
    </w:p>
    <w:p>
      <w:pPr>
        <w:keepLines w:val="true"/>
        <w:pBdr/>
        <w:spacing w:after="140"/>
        <w:ind/>
        <w:rPr/>
      </w:pPr>
      <w:r>
        <w:t xml:space="preserve">Collaborate with the Center for the Study and Development of the Indigenous Languages of Oaxaca (CEDELIO) and Indigenous teachers in three regions of the Mixteca Alta. Adapt dual-language immersion me</w:t>
      </w:r>
      <w:r>
        <w:t xml:space="preserve">thods for Tu’un Savi and co-develop teaching materials grounded in community knowledge systems and Indigenous epistemologies. The work connects language learning with locally grounded approaches to history, mathematics, science, and other curricular areas.</w:t>
      </w:r>
      <w:r/>
    </w:p>
    <w:p>
      <w:pPr>
        <w:keepNext w:val="true"/>
        <w:pBdr/>
        <w:spacing w:after="40"/>
        <w:ind/>
        <w:rPr/>
      </w:pPr>
      <w:r>
        <w:rPr>
          <w:b/>
        </w:rPr>
        <w:t xml:space="preserve">Chontal Language Activism Support</w:t>
      </w:r>
      <w:r/>
    </w:p>
    <w:p>
      <w:pPr>
        <w:keepLines w:val="true"/>
        <w:pBdr/>
        <w:spacing w:after="140"/>
        <w:ind/>
        <w:rPr/>
      </w:pPr>
      <w:r>
        <w:t xml:space="preserve">Since 2018, have collaborated through LADORES with Highland and Lowland Chontal language advocates on a language-learning application, word-of-the-day materia</w:t>
      </w:r>
      <w:r>
        <w:t xml:space="preserve">ls, an online audio grammar, virtual workshops, and print and talking books. Include undergraduate and graduate students in resource development and community training. Taught community-based linguistics at the Universidad del Pueblo in Santa María Astata.</w:t>
      </w:r>
      <w:r/>
    </w:p>
    <w:p>
      <w:pPr>
        <w:keepNext w:val="true"/>
        <w:pBdr/>
        <w:spacing w:after="40"/>
        <w:ind/>
        <w:rPr/>
      </w:pPr>
      <w:r>
        <w:rPr>
          <w:b/>
        </w:rPr>
        <w:t xml:space="preserve">Community Audiovisual Documentation</w:t>
      </w:r>
      <w:r/>
    </w:p>
    <w:p>
      <w:pPr>
        <w:keepLines w:val="true"/>
        <w:pBdr/>
        <w:spacing w:after="140"/>
        <w:ind/>
        <w:rPr/>
      </w:pPr>
      <w:r>
        <w:t xml:space="preserve">Co-coordinate the Taller de Video Comunitario with Salvador Galindo Llaguno of CEDELIO. Since 2022, the project has support</w:t>
      </w:r>
      <w:r>
        <w:t xml:space="preserve">ed a second generation of teams documenting eight languages using mobile phones. It builds on collaborative work with Lorena Córdova-Hernández at the Universidad Autónoma Benito Juárez de Oaxaca (UABJO) on community documentation methods beginning in 2016.</w:t>
      </w:r>
      <w:r/>
    </w:p>
    <w:p>
      <w:pPr>
        <w:keepNext w:val="true"/>
        <w:pBdr/>
        <w:spacing w:after="40"/>
        <w:ind/>
        <w:rPr/>
      </w:pPr>
      <w:r>
        <w:rPr>
          <w:b/>
        </w:rPr>
        <w:t xml:space="preserve">Añima Ijeda Community Museum and Lowland Chontal Archive</w:t>
      </w:r>
      <w:r/>
    </w:p>
    <w:p>
      <w:pPr>
        <w:keepLines w:val="true"/>
        <w:pBdr/>
        <w:spacing w:after="140"/>
        <w:ind/>
        <w:rPr/>
      </w:pPr>
      <w:r>
        <w:t xml:space="preserve">Since 2023, have served as Cal State LA institutional collaborator in a British Museum/SDCELAR partnership with Chontal community members, the municipality of San Pedro Huamelula, CEDELIO, and Oaxa</w:t>
      </w:r>
      <w:r>
        <w:t xml:space="preserve">ca cultural agencies. The museum opened in June 2024. In 2025–2026, led students and community collaborators in returning Lowland Chontal recordings, transcripts, and metadata through an offline, exportable archive installed on a dedicated museum computer.</w:t>
      </w:r>
      <w:r/>
    </w:p>
    <w:p>
      <w:pPr>
        <w:keepNext w:val="true"/>
        <w:pBdr/>
        <w:spacing w:after="40"/>
        <w:ind/>
        <w:rPr/>
      </w:pPr>
      <w:r>
        <w:rPr>
          <w:b/>
        </w:rPr>
        <w:t xml:space="preserve">Returning the Voices to Their Origins</w:t>
      </w:r>
      <w:r/>
    </w:p>
    <w:p>
      <w:pPr>
        <w:keepLines w:val="true"/>
        <w:pBdr/>
        <w:spacing w:after="140"/>
        <w:ind/>
        <w:rPr/>
      </w:pPr>
      <w:r>
        <w:t xml:space="preserve">American Philosophical Society-supported project returning recordings made by Paul Turner in 1967 to sixteen </w:t>
      </w:r>
      <w:r>
        <w:t xml:space="preserve">Chontal communities. Combined archival return with a new dialect survey and revitalization workshops. The work contributed to subsequent master-apprentice training with CEDELIO, UABJO, Mexico’s National Institute of Indigenous Languages, and Leanne Hinton.</w:t>
      </w:r>
      <w:r/>
    </w:p>
    <w:p>
      <w:pPr>
        <w:keepNext w:val="true"/>
        <w:pBdr/>
        <w:spacing w:after="40"/>
        <w:ind/>
        <w:rPr/>
      </w:pPr>
      <w:r>
        <w:rPr>
          <w:b/>
        </w:rPr>
        <w:t xml:space="preserve">Collaborative Research on Endangered Languages</w:t>
      </w:r>
      <w:r/>
    </w:p>
    <w:p>
      <w:pPr>
        <w:keepLines w:val="true"/>
        <w:pBdr/>
        <w:spacing w:after="140"/>
        <w:ind/>
        <w:rPr/>
      </w:pPr>
      <w:r>
        <w:t xml:space="preserve">Co-Principal Investigator on the CONAHCYT-supported project Revitalización de lenguas</w:t>
      </w:r>
      <w:r>
        <w:t xml:space="preserve"> y culturas fronterizas y en riesgo de desaparición, led by Lorena Córdova-Hernández at UABJO. Contributed language-endangerment assessment, community autodocumentation workshops, pedagogical materials, and collaborative publications in Oaxaca and Chiapas.</w:t>
      </w:r>
      <w:r/>
    </w:p>
    <w:p>
      <w:pPr>
        <w:keepNext w:val="true"/>
        <w:pBdr/>
        <w:spacing w:after="40"/>
        <w:ind/>
        <w:rPr/>
      </w:pPr>
      <w:r>
        <w:rPr>
          <w:b/>
        </w:rPr>
        <w:t xml:space="preserve">International Indigenous Film and Community Exchange</w:t>
      </w:r>
      <w:r/>
    </w:p>
    <w:p>
      <w:pPr>
        <w:keepLines w:val="true"/>
        <w:pBdr/>
        <w:spacing w:after="140"/>
        <w:ind/>
        <w:rPr/>
      </w:pPr>
      <w:r>
        <w:t xml:space="preserve">Org</w:t>
      </w:r>
      <w:r>
        <w:t xml:space="preserve">anized an international online film forum connecting Indigenous filmmakers and audiences in Fiji, Brazil, Mexico, Los Angeles, and Taiwan. The program supports exchange around community representation, language, cultural continuity, and visual sovereignty.</w:t>
      </w:r>
      <w:r/>
    </w:p>
    <w:p>
      <w:pPr>
        <w:keepNext w:val="true"/>
        <w:pBdr/>
        <w:spacing w:after="40"/>
        <w:ind/>
        <w:rPr/>
      </w:pPr>
      <w:r>
        <w:rPr>
          <w:b/>
        </w:rPr>
        <w:t xml:space="preserve">Dizha Shon Dizha Bahn</w:t>
      </w:r>
      <w:r/>
    </w:p>
    <w:p>
      <w:pPr>
        <w:keepLines w:val="true"/>
        <w:pBdr/>
        <w:spacing w:after="140"/>
        <w:ind/>
        <w:rPr/>
      </w:pPr>
      <w:r>
        <w:t xml:space="preserve">From 2008 to 2013, co</w:t>
      </w:r>
      <w:r>
        <w:t xml:space="preserve">llaborated with Odilia Romero and the Frente Indígena de Organizaciones Binacionales in Los Angeles on Zoogocho Zapotec revitalization using the master-apprentice model and youth documentation. The effort extended to other Sierra Norte Zapotec communities.</w:t>
      </w:r>
      <w:r/>
    </w:p>
    <w:p>
      <w:pPr>
        <w:pBdr/>
        <w:spacing w:after="0" w:before="0" w:line="240" w:lineRule="auto"/>
        <w:ind/>
        <w:rPr/>
      </w:pPr>
      <w:r/>
      <w:r/>
    </w:p>
    <w:p>
      <w:pPr>
        <w:pStyle w:val="705"/>
        <w:pBdr/>
        <w:spacing/>
        <w:ind/>
        <w:rPr/>
      </w:pPr>
      <w:r>
        <w:t xml:space="preserve">Selected Publications</w:t>
      </w:r>
      <w:r/>
    </w:p>
    <w:p>
      <w:pPr>
        <w:pStyle w:val="706"/>
        <w:pBdr/>
        <w:spacing/>
        <w:ind/>
        <w:rPr/>
      </w:pPr>
      <w:r>
        <w:t xml:space="preserve">Books and Edited Volumes</w:t>
      </w:r>
      <w:r/>
    </w:p>
    <w:p>
      <w:pPr>
        <w:keepLines w:val="true"/>
        <w:pBdr/>
        <w:spacing w:after="140"/>
        <w:ind w:hanging="288" w:left="288"/>
        <w:rPr/>
      </w:pPr>
      <w:r>
        <w:t xml:space="preserve">2015. Operstein, Natalie, and Aaron H. Sonnenschein, eds. </w:t>
      </w:r>
      <w:r>
        <w:rPr>
          <w:i/>
        </w:rPr>
        <w:t xml:space="preserve">Valence Changes in Zapotec: Synchrony, Diachrony, Typology.</w:t>
      </w:r>
      <w:r>
        <w:t xml:space="preserve"> Typological Studies in Language 110. Amsterdam/Philadelphia: John Benjamins.</w:t>
      </w:r>
      <w:r/>
    </w:p>
    <w:p>
      <w:pPr>
        <w:keepLines w:val="true"/>
        <w:pBdr/>
        <w:spacing w:after="140"/>
        <w:ind w:hanging="288" w:left="288"/>
        <w:rPr/>
      </w:pPr>
      <w:r>
        <w:t xml:space="preserve">2012. Lillehaugen, Brook Danielle, and Aaron H. Sonnenschein, eds. </w:t>
      </w:r>
      <w:r>
        <w:rPr>
          <w:i/>
        </w:rPr>
        <w:t xml:space="preserve">Expressing Location in Zapotec.</w:t>
      </w:r>
      <w:r>
        <w:t xml:space="preserve"> LINCOM Studies in Native American Linguistics 61. Munich: LINCOM Europa.</w:t>
      </w:r>
      <w:r/>
    </w:p>
    <w:p>
      <w:pPr>
        <w:keepLines w:val="true"/>
        <w:pBdr/>
        <w:spacing w:after="140"/>
        <w:ind w:hanging="288" w:left="288"/>
        <w:rPr/>
      </w:pPr>
      <w:r>
        <w:t xml:space="preserve">2011. Cantú, Roberto, and Aaron H. Sonnenschein, eds. </w:t>
      </w:r>
      <w:r>
        <w:rPr>
          <w:i/>
        </w:rPr>
        <w:t xml:space="preserve">Tradition and Innovation in Mesoamerican Cultural History: A Homage to Tatiana A. Proskouriakoff.</w:t>
      </w:r>
      <w:r>
        <w:t xml:space="preserve"> LINCOM Studies in Anthropology 15. Munich: LINCOM Europa.</w:t>
      </w:r>
      <w:r/>
    </w:p>
    <w:p>
      <w:pPr>
        <w:keepLines w:val="true"/>
        <w:pBdr/>
        <w:spacing w:after="140"/>
        <w:ind w:hanging="288" w:left="288"/>
        <w:rPr/>
      </w:pPr>
      <w:r>
        <w:t xml:space="preserve">2005. Sonnenschein, Aaron H. </w:t>
      </w:r>
      <w:r>
        <w:rPr>
          <w:i/>
        </w:rPr>
        <w:t xml:space="preserve">A Grammar of Zoogocho Zapotec.</w:t>
      </w:r>
      <w:r>
        <w:t xml:space="preserve"> LINCOM Languages of the World 451. Munich: LINCOM Europa.</w:t>
      </w:r>
      <w:r/>
    </w:p>
    <w:p>
      <w:pPr>
        <w:pStyle w:val="706"/>
        <w:pBdr/>
        <w:spacing/>
        <w:ind/>
        <w:rPr/>
      </w:pPr>
      <w:r>
        <w:t xml:space="preserve">Language Documentation Education and Reclamation</w:t>
      </w:r>
      <w:r/>
    </w:p>
    <w:p>
      <w:pPr>
        <w:keepLines w:val="true"/>
        <w:pBdr/>
        <w:spacing w:after="140"/>
        <w:ind w:hanging="288" w:left="288"/>
        <w:rPr/>
      </w:pPr>
      <w:r>
        <w:t xml:space="preserve">Forthcoming. Sonnenschein, Aaron H., and Salvador Galindo Llaguno. </w:t>
      </w:r>
      <w:r>
        <w:rPr>
          <w:i/>
        </w:rPr>
        <w:t xml:space="preserve">Manual de adaptación de la metodología de lenguaje dual en contextos escolares de educación indígena de Oaxaca.</w:t>
      </w:r>
      <w:r/>
    </w:p>
    <w:p>
      <w:pPr>
        <w:keepLines w:val="true"/>
        <w:pBdr/>
        <w:spacing w:after="140"/>
        <w:ind w:hanging="288" w:left="288"/>
        <w:rPr/>
      </w:pPr>
      <w:r>
        <w:t xml:space="preserve">2025. Sonnenschein, Aaron Huey. “The Chontal Language Family.” In </w:t>
      </w:r>
      <w:r>
        <w:rPr>
          <w:i/>
        </w:rPr>
        <w:t xml:space="preserve">The Languages and Linguistics of Mexico and Northern Central America: A Comprehensive Guide</w:t>
      </w:r>
      <w:r>
        <w:t xml:space="preserve">, edited by Søren Wichmann, 599⁠–⁠626. Berlin/Boston: De Gruyter Mouton. DOI: 10.1515/9783110421705-013.</w:t>
      </w:r>
      <w:r/>
    </w:p>
    <w:p>
      <w:pPr>
        <w:keepLines w:val="true"/>
        <w:pBdr/>
        <w:spacing w:after="140"/>
        <w:ind w:hanging="288" w:left="288"/>
        <w:rPr/>
      </w:pPr>
      <w:r>
        <w:t xml:space="preserve">2024. Zborover, Danny, Lorena Córdova-Hernández, Salvador Galindo Llaguno, and Aaron Huey Sonnenschein. “Returning Forgotten Voices: Indigenous Language Documentation and Revitalization in Oaxaca, Mexico.” In </w:t>
      </w:r>
      <w:r>
        <w:rPr>
          <w:i/>
        </w:rPr>
        <w:t xml:space="preserve">Indigenous Studies in Archives and Beyond: Relationships, Reciprocity, and Responsibilities</w:t>
      </w:r>
      <w:r>
        <w:t xml:space="preserve">, edited by Jennifer R. O’Neal, 121–136. Transactions of the American Philosophical Society 113(1).</w:t>
      </w:r>
      <w:r/>
    </w:p>
    <w:p>
      <w:pPr>
        <w:keepLines w:val="true"/>
        <w:pBdr/>
        <w:spacing w:after="140"/>
        <w:ind w:hanging="288" w:left="288"/>
        <w:rPr/>
      </w:pPr>
      <w:r>
        <w:t xml:space="preserve">2021. Sonnenschein, Aaron Huey, Salvador Galindo Llaguno, and Lorena Córdova-Hernández. “Autodocumentación lingüística comunitaria: experiencias en la región chontal.” In </w:t>
      </w:r>
      <w:r>
        <w:rPr>
          <w:i/>
        </w:rPr>
        <w:t xml:space="preserve">Continuum investigativo y diversidad lingüístico-cultural del sur de México</w:t>
      </w:r>
      <w:r>
        <w:t xml:space="preserve">, edited by Lorena Córdova-Hernández and Jorge Valtierra Zamudio, 117–148. Oaxaca: UABJO.</w:t>
      </w:r>
      <w:r/>
    </w:p>
    <w:p>
      <w:pPr>
        <w:keepLines w:val="true"/>
        <w:pBdr/>
        <w:spacing w:after="140"/>
        <w:ind w:hanging="288" w:left="288"/>
        <w:rPr/>
      </w:pPr>
      <w:r>
        <w:t xml:space="preserve">2020. Sonnenschein, Aaron Huey, Salvador Galindo Llaguno, and Danny Zborover. “Panka Panka: Esfuerzos interinstitucionales para la revitalización de la lengua chontal: historia, presente y futuro.” In </w:t>
      </w:r>
      <w:r>
        <w:rPr>
          <w:i/>
        </w:rPr>
        <w:t xml:space="preserve">Lenguas y culturas en riesgo de desaparición: desplazamientos, colaboraciones y fronteras</w:t>
      </w:r>
      <w:r>
        <w:t xml:space="preserve">, edited by Lorena Córdova-Hernández, 67–92. Mexico City/Oaxaca: Editorial Ítaca, UABJO, and CONACYT.</w:t>
      </w:r>
      <w:r/>
    </w:p>
    <w:p>
      <w:pPr>
        <w:pStyle w:val="706"/>
        <w:pBdr/>
        <w:spacing/>
        <w:ind/>
        <w:rPr/>
      </w:pPr>
      <w:r>
        <w:t xml:space="preserve">Collaborative Indigenous Ethnohistory</w:t>
      </w:r>
      <w:r/>
    </w:p>
    <w:p>
      <w:pPr>
        <w:keepLines w:val="true"/>
        <w:pBdr/>
        <w:spacing w:after="140"/>
        <w:ind w:hanging="288" w:left="288"/>
        <w:rPr/>
      </w:pPr>
      <w:r>
        <w:t xml:space="preserve">2018. “El testamento de Sebastiana de Mendoza en lengua zapoteca, c. 1675.” </w:t>
      </w:r>
      <w:r>
        <w:rPr>
          <w:i/>
        </w:rPr>
        <w:t xml:space="preserve">Tlalocan.</w:t>
      </w:r>
      <w:r>
        <w:t xml:space="preserve"> With Pamela Munro, Kevin Terraciano, Michael Galant, Xóchitl Flores-Marcial, Brook Danielle Lillehaugen, and Diana Schwartz.</w:t>
      </w:r>
      <w:r/>
    </w:p>
    <w:p>
      <w:pPr>
        <w:keepLines w:val="true"/>
        <w:pBdr/>
        <w:spacing w:after="140"/>
        <w:ind w:hanging="288" w:left="288"/>
        <w:rPr/>
      </w:pPr>
      <w:r>
        <w:t xml:space="preserve">2017. “Un testamento zapoteco del valle de Oaxaca, 1614.” </w:t>
      </w:r>
      <w:r>
        <w:rPr>
          <w:i/>
        </w:rPr>
        <w:t xml:space="preserve">Tlalocan.</w:t>
      </w:r>
      <w:r>
        <w:t xml:space="preserve"> With Pamela Munro, Kevin Terraciano, Michael Galant, Brook Danielle Lillehaugen, Xóchitl Flores-Marcial, María Ornelas, and Lisa Sousa.</w:t>
      </w:r>
      <w:r/>
    </w:p>
    <w:p>
      <w:pPr>
        <w:pStyle w:val="705"/>
        <w:pBdr/>
        <w:spacing/>
        <w:ind/>
        <w:rPr/>
      </w:pPr>
      <w:r>
        <w:t xml:space="preserve">Collaborative Animation</w:t>
      </w:r>
      <w:r/>
    </w:p>
    <w:p>
      <w:pPr>
        <w:keepLines w:val="true"/>
        <w:pBdr/>
        <w:spacing w:after="100"/>
        <w:ind/>
        <w:rPr/>
      </w:pPr>
      <w:r/>
      <w:hyperlink r:id="rId12" w:tooltip="https://vimeo.com/1081925098" w:history="1">
        <w:r>
          <w:rPr>
            <w:i/>
            <w:color w:val="1f4e79"/>
            <w:u w:val="single"/>
          </w:rPr>
          <w:t xml:space="preserve">The Bell &amp; The Ash Hill (English/Spanish CC)</w:t>
        </w:r>
      </w:hyperlink>
      <w:r>
        <w:t xml:space="preserve">. A collaboration between Cal State LA’s Department of Anthropology and Department of Art (Animation Option) to preserve Zapotec oral storytelling through animation.</w:t>
      </w:r>
      <w:r/>
    </w:p>
    <w:p>
      <w:pPr>
        <w:pBdr/>
        <w:spacing w:after="0" w:before="0" w:line="240" w:lineRule="auto"/>
        <w:ind/>
        <w:rPr/>
      </w:pPr>
      <w:r/>
      <w:r/>
    </w:p>
    <w:p>
      <w:pPr>
        <w:pStyle w:val="705"/>
        <w:pBdr/>
        <w:spacing/>
        <w:ind/>
        <w:rPr/>
      </w:pPr>
      <w:r>
        <w:t xml:space="preserve">Teaching Mentorship and International Exchange</w:t>
      </w:r>
      <w:r/>
    </w:p>
    <w:p>
      <w:pPr>
        <w:keepNext w:val="true"/>
        <w:pBdr/>
        <w:spacing w:after="40"/>
        <w:ind/>
        <w:rPr/>
      </w:pPr>
      <w:r>
        <w:rPr>
          <w:b/>
        </w:rPr>
        <w:t xml:space="preserve">2025–2026  Indigenous Community Research Training</w:t>
      </w:r>
      <w:r/>
    </w:p>
    <w:p>
      <w:pPr>
        <w:keepLines w:val="true"/>
        <w:pBdr/>
        <w:spacing w:after="140"/>
        <w:ind/>
        <w:rPr/>
      </w:pPr>
      <w:r>
        <w:t xml:space="preserve">Instructor, Diplomado en Descripción Socioling</w:t>
      </w:r>
      <w:r>
        <w:t xml:space="preserve">üística, Universidad Intercultural del Pueblo, Oaxaca. Developed and taught sociolinguistic-description units for participants associated with more than six regional unidades, supporting community-based language research, documentation, and revitalization.</w:t>
      </w:r>
      <w:r/>
    </w:p>
    <w:p>
      <w:pPr>
        <w:keepNext w:val="true"/>
        <w:pBdr/>
        <w:spacing w:after="40"/>
        <w:ind/>
        <w:rPr/>
      </w:pPr>
      <w:r>
        <w:rPr>
          <w:b/>
        </w:rPr>
        <w:t xml:space="preserve">Student Research and Community Language Resources</w:t>
      </w:r>
      <w:r/>
    </w:p>
    <w:p>
      <w:pPr>
        <w:keepLines w:val="true"/>
        <w:pBdr/>
        <w:spacing w:after="140"/>
        <w:ind/>
        <w:rPr/>
      </w:pPr>
      <w:r>
        <w:t xml:space="preserve">Train undergraduate and graduate students through LADORES in audiovisual documentation, transcription, editing, metadata, digital publishing, community revi</w:t>
      </w:r>
      <w:r>
        <w:t xml:space="preserve">ew, and ethical circulation. Mentor Maria D. Velasco Vasquez and the San Francisco Yatee Zapotec revitalization project, including more than 200 word-of-the-day videos and work connecting language, migration, memory, and identity in Oaxaca and Los Angeles.</w:t>
      </w:r>
      <w:r/>
    </w:p>
    <w:p>
      <w:pPr>
        <w:keepNext w:val="true"/>
        <w:pBdr/>
        <w:spacing w:after="40"/>
        <w:ind/>
        <w:rPr/>
      </w:pPr>
      <w:r>
        <w:rPr>
          <w:b/>
        </w:rPr>
        <w:t xml:space="preserve">2026  Fichas Lingüísticas de Oaxaca StoryMap</w:t>
      </w:r>
      <w:r/>
    </w:p>
    <w:p>
      <w:pPr>
        <w:keepLines w:val="true"/>
        <w:pBdr/>
        <w:spacing w:after="140"/>
        <w:ind/>
        <w:rPr/>
      </w:pPr>
      <w:r>
        <w:t xml:space="preserve">Designed and supervised the </w:t>
      </w:r>
      <w:hyperlink r:id="rId13" w:tooltip="https://storymaps.arcgis.com/stories/7aadd94903004c7c8bba0ba2372a3f57" w:history="1">
        <w:r>
          <w:rPr>
            <w:color w:val="1f4e79"/>
            <w:u w:val="single"/>
          </w:rPr>
          <w:t xml:space="preserve">Fichas Lingüísticas de Oaxaca StoryMap</w:t>
        </w:r>
      </w:hyperlink>
      <w:r>
        <w:t xml:space="preserve"> assignment in ANTH 5700. Students synthesized linguistic, geographic, historical, and cultural evidence for public audiences.</w:t>
      </w:r>
      <w:r/>
    </w:p>
    <w:p>
      <w:pPr>
        <w:keepNext w:val="true"/>
        <w:pBdr/>
        <w:spacing w:after="40"/>
        <w:ind/>
        <w:rPr/>
      </w:pPr>
      <w:r>
        <w:rPr>
          <w:b/>
        </w:rPr>
        <w:t xml:space="preserve">August 2026  Viva Língua Viva International Seminar, Recife, Brazil</w:t>
      </w:r>
      <w:r/>
    </w:p>
    <w:p>
      <w:pPr>
        <w:keepLines w:val="true"/>
        <w:pBdr/>
        <w:spacing w:after="140"/>
        <w:ind/>
        <w:rPr/>
      </w:pPr>
      <w:r>
        <w:t xml:space="preserve">Invited participant in “Vozes e artefatos regressando a suas terras,” a roundtable on lingui</w:t>
      </w:r>
      <w:r>
        <w:t xml:space="preserve">stic and archival repatriation. Invited workshop co-instructor with Salvador Galindo Llaguno for “Creación de materiales visuales para lenguas originarias: Primeros pasos hacia un programa comunitario de inmersión dual.” Universidade Federal de Pernambuco.</w:t>
      </w:r>
      <w:r/>
    </w:p>
    <w:p>
      <w:pPr>
        <w:keepNext w:val="true"/>
        <w:pBdr/>
        <w:spacing w:after="40"/>
        <w:ind/>
        <w:rPr/>
      </w:pPr>
      <w:r>
        <w:rPr>
          <w:b/>
        </w:rPr>
        <w:t xml:space="preserve">2019  Invited Plenary on Language Documentation</w:t>
      </w:r>
      <w:r/>
    </w:p>
    <w:p>
      <w:pPr>
        <w:keepLines w:val="true"/>
        <w:pBdr/>
        <w:spacing w:after="140"/>
        <w:ind/>
        <w:rPr/>
      </w:pPr>
      <w:r>
        <w:t xml:space="preserve">“El pasado, presente y futuro de la documentación lingüística en Oaxaca.” Third International Carl Lumholtz Conference, Instituto Nacional de Antropología e Historia Norte, Chihuahua, Mexico.</w:t>
      </w:r>
      <w:r/>
    </w:p>
    <w:p>
      <w:pPr>
        <w:pStyle w:val="705"/>
        <w:pBdr/>
        <w:spacing/>
        <w:ind/>
        <w:rPr/>
      </w:pPr>
      <w:r>
        <w:t xml:space="preserve">Collaborative Language Publishing on Bloom Library</w:t>
      </w:r>
      <w:r/>
    </w:p>
    <w:p>
      <w:pPr>
        <w:keepNext w:val="true"/>
        <w:keepLines w:val="true"/>
        <w:pBdr/>
        <w:spacing w:after="100"/>
        <w:ind/>
        <w:rPr/>
      </w:pPr>
      <w:r>
        <w:t xml:space="preserve">Collaborate through LADORES with Chontal language activists and undergraduate and graduate students to co-develop print a</w:t>
      </w:r>
      <w:r>
        <w:t xml:space="preserve">nd talking books. The work combines community language knowledge with student participation in documentation and teaching-material development. These collaborations have produced resources for language learning and reclamation shared through Bloom Library.</w:t>
      </w:r>
      <w:r/>
    </w:p>
    <w:p>
      <w:pPr>
        <w:keepLines w:val="true"/>
        <w:pBdr/>
        <w:spacing w:after="100"/>
        <w:ind/>
        <w:rPr/>
      </w:pPr>
      <w:r>
        <w:t xml:space="preserve">Bloom Library: </w:t>
      </w:r>
      <w:r>
        <w:t xml:space="preserve"> </w:t>
      </w:r>
      <w:hyperlink r:id="rId14" w:tooltip="https://bloomlibrary.org/language:clo" w:history="1">
        <w:r>
          <w:rPr>
            <w:color w:val="1f4e79"/>
            <w:u w:val="single"/>
          </w:rPr>
          <w:t xml:space="preserve">Lowland Chontal</w:t>
        </w:r>
      </w:hyperlink>
      <w:r>
        <w:t xml:space="preserve">  |  </w:t>
      </w:r>
      <w:hyperlink r:id="rId15" w:tooltip="https://bloomlibrary.org/language:chd" w:history="1">
        <w:r>
          <w:rPr>
            <w:color w:val="1f4e79"/>
            <w:u w:val="single"/>
          </w:rPr>
          <w:t xml:space="preserve">Highland Chontal</w:t>
        </w:r>
      </w:hyperlink>
      <w:r/>
      <w:r/>
    </w:p>
    <w:p>
      <w:pPr>
        <w:pStyle w:val="705"/>
        <w:pBdr/>
        <w:spacing/>
        <w:ind/>
        <w:rPr/>
      </w:pPr>
      <w:r>
        <w:t xml:space="preserve">Selected Institutional Leadership</w:t>
      </w:r>
      <w:r/>
    </w:p>
    <w:p>
      <w:pPr>
        <w:keepLines w:val="true"/>
        <w:pBdr/>
        <w:spacing w:after="100"/>
        <w:ind/>
        <w:rPr/>
      </w:pPr>
      <w:r>
        <w:rPr>
          <w:b/>
        </w:rPr>
        <w:t xml:space="preserve">Department Chair, Anthropology, Cal State LA, since 2022.</w:t>
      </w:r>
      <w:r>
        <w:t xml:space="preserve"> Lead academic planning, staffing, curriculum, assessment, program review, and student support.</w:t>
        <w:br/>
      </w:r>
      <w:r>
        <w:rPr>
          <w:b/>
        </w:rPr>
        <w:t xml:space="preserve">Interdisciplinary program development.</w:t>
      </w:r>
      <w:r>
        <w:t xml:space="preserve"> Co-develop a Galleries, Libraries, Archives, and Museums Studies program connecting cultural heritage, digital curation, public humanities, and ethical repatriation.</w:t>
        <w:br/>
      </w:r>
      <w:r>
        <w:rPr>
          <w:b/>
        </w:rPr>
        <w:t xml:space="preserve">Graduate and undergraduate mentorship.</w:t>
      </w:r>
      <w:r>
        <w:t xml:space="preserve"> Supervise theses and projects, honors research, independent studies, and collaborative public scholarship in linguistic anthropology, media, migration, and archives.</w:t>
      </w:r>
      <w:r/>
    </w:p>
    <w:p>
      <w:pPr>
        <w:pStyle w:val="705"/>
        <w:pBdr/>
        <w:spacing/>
        <w:ind/>
        <w:rPr/>
      </w:pPr>
      <w:r>
        <w:t xml:space="preserve">Selected Fellowships and Research Support</w:t>
      </w:r>
      <w:r/>
    </w:p>
    <w:p>
      <w:pPr>
        <w:keepLines w:val="true"/>
        <w:pBdr/>
        <w:spacing w:after="0"/>
        <w:ind/>
        <w:rPr/>
      </w:pPr>
      <w:r>
        <w:rPr>
          <w:b/>
        </w:rPr>
        <w:t xml:space="preserve">2027</w:t>
      </w:r>
      <w:r>
        <w:t xml:space="preserve">  Taiwan Fellowship, Ministry of Foreign Affairs, Taiwan.</w:t>
        <w:br/>
      </w:r>
      <w:r>
        <w:rPr>
          <w:b/>
        </w:rPr>
        <w:t xml:space="preserve">Co-Principal Investigator</w:t>
      </w:r>
      <w:r>
        <w:t xml:space="preserve">  CONAHCYT-supported collaborative research on endangered languages and cultures; Principal Investigator: Lorena Córdova-Hernández, UABJO.</w:t>
        <w:br/>
      </w:r>
      <w:r>
        <w:rPr>
          <w:b/>
        </w:rPr>
        <w:t xml:space="preserve">American Philosophical Society</w:t>
      </w:r>
      <w:r>
        <w:t xml:space="preserve">  Franklin Fellowship and research support for archival return.</w:t>
        <w:br/>
      </w:r>
      <w:r>
        <w:rPr>
          <w:b/>
        </w:rPr>
        <w:t xml:space="preserve">1998–2000</w:t>
      </w:r>
      <w:r>
        <w:t xml:space="preserve">  Fellowship, Max Planck Institute for Psycholinguistics.</w:t>
      </w:r>
      <w:r/>
    </w:p>
    <w:sectPr>
      <w:footerReference w:type="default" r:id="rId9"/>
      <w:footnotePr/>
      <w:endnotePr/>
      <w:type w:val="nextPage"/>
      <w:pgSz w:h="15840" w:orient="portrait" w:w="12240"/>
      <w:pgMar w:top="965" w:right="1080" w:bottom="965" w:left="1080" w:header="403" w:footer="403"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Bdr/>
      <w:spacing w:after="0" w:before="0"/>
      <w:ind/>
      <w:jc w:val="right"/>
      <w:rPr/>
    </w:pPr>
    <w:r>
      <w:rPr>
        <w:rFonts w:ascii="Arial" w:hAnsi="Arial"/>
        <w:color w:val="000000"/>
        <w:sz w:val="18"/>
      </w:rPr>
      <w:t xml:space="preserve">Aaron Huey Sonnenschein  |  October 2026  |  </w:t>
    </w:r>
    <w:fldSimple w:instr="PAGE \* MERGEFORMAT">
      <w:r>
        <w:t xml:space="preserve">1</w:t>
      </w:r>
    </w:fldSimple>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740"/>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73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737"/>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73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73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73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1">
    <w:name w:val="footnote text"/>
    <w:basedOn w:val="700"/>
    <w:link w:val="182"/>
    <w:uiPriority w:val="99"/>
    <w:semiHidden/>
    <w:unhideWhenUsed/>
    <w:pPr>
      <w:pBdr/>
      <w:spacing w:after="0" w:line="240" w:lineRule="auto"/>
      <w:ind/>
    </w:pPr>
    <w:rPr>
      <w:sz w:val="20"/>
      <w:szCs w:val="20"/>
    </w:rPr>
  </w:style>
  <w:style w:type="character" w:styleId="182">
    <w:name w:val="Footnote Text Char"/>
    <w:basedOn w:val="714"/>
    <w:link w:val="181"/>
    <w:uiPriority w:val="99"/>
    <w:semiHidden/>
    <w:pPr>
      <w:pBdr/>
      <w:spacing/>
      <w:ind/>
    </w:pPr>
    <w:rPr>
      <w:sz w:val="20"/>
      <w:szCs w:val="20"/>
    </w:rPr>
  </w:style>
  <w:style w:type="character" w:styleId="183">
    <w:name w:val="footnote reference"/>
    <w:basedOn w:val="714"/>
    <w:uiPriority w:val="99"/>
    <w:semiHidden/>
    <w:unhideWhenUsed/>
    <w:pPr>
      <w:pBdr/>
      <w:spacing/>
      <w:ind/>
    </w:pPr>
    <w:rPr>
      <w:vertAlign w:val="superscript"/>
    </w:rPr>
  </w:style>
  <w:style w:type="paragraph" w:styleId="184">
    <w:name w:val="endnote text"/>
    <w:basedOn w:val="700"/>
    <w:link w:val="185"/>
    <w:uiPriority w:val="99"/>
    <w:semiHidden/>
    <w:unhideWhenUsed/>
    <w:pPr>
      <w:pBdr/>
      <w:spacing w:after="0" w:line="240" w:lineRule="auto"/>
      <w:ind/>
    </w:pPr>
    <w:rPr>
      <w:sz w:val="20"/>
      <w:szCs w:val="20"/>
    </w:rPr>
  </w:style>
  <w:style w:type="character" w:styleId="185">
    <w:name w:val="Endnote Text Char"/>
    <w:basedOn w:val="714"/>
    <w:link w:val="184"/>
    <w:uiPriority w:val="99"/>
    <w:semiHidden/>
    <w:pPr>
      <w:pBdr/>
      <w:spacing/>
      <w:ind/>
    </w:pPr>
    <w:rPr>
      <w:sz w:val="20"/>
      <w:szCs w:val="20"/>
    </w:rPr>
  </w:style>
  <w:style w:type="character" w:styleId="186">
    <w:name w:val="endnote reference"/>
    <w:basedOn w:val="714"/>
    <w:uiPriority w:val="99"/>
    <w:semiHidden/>
    <w:unhideWhenUsed/>
    <w:pPr>
      <w:pBdr/>
      <w:spacing/>
      <w:ind/>
    </w:pPr>
    <w:rPr>
      <w:vertAlign w:val="superscript"/>
    </w:rPr>
  </w:style>
  <w:style w:type="character" w:styleId="187">
    <w:name w:val="Hyperlink"/>
    <w:basedOn w:val="714"/>
    <w:uiPriority w:val="99"/>
    <w:unhideWhenUsed/>
    <w:pPr>
      <w:pBdr/>
      <w:spacing/>
      <w:ind/>
    </w:pPr>
    <w:rPr>
      <w:color w:val="0563c1" w:themeColor="hyperlink"/>
      <w:u w:val="single"/>
    </w:rPr>
  </w:style>
  <w:style w:type="character" w:styleId="188">
    <w:name w:val="FollowedHyperlink"/>
    <w:basedOn w:val="714"/>
    <w:uiPriority w:val="99"/>
    <w:semiHidden/>
    <w:unhideWhenUsed/>
    <w:pPr>
      <w:pBdr/>
      <w:spacing/>
      <w:ind/>
    </w:pPr>
    <w:rPr>
      <w:color w:val="954f72" w:themeColor="followedHyperlink"/>
      <w:u w:val="single"/>
    </w:rPr>
  </w:style>
  <w:style w:type="paragraph" w:styleId="189">
    <w:name w:val="toc 1"/>
    <w:basedOn w:val="700"/>
    <w:next w:val="700"/>
    <w:uiPriority w:val="39"/>
    <w:unhideWhenUsed/>
    <w:pPr>
      <w:pBdr/>
      <w:spacing w:after="100"/>
      <w:ind/>
    </w:pPr>
  </w:style>
  <w:style w:type="paragraph" w:styleId="190">
    <w:name w:val="toc 2"/>
    <w:basedOn w:val="700"/>
    <w:next w:val="700"/>
    <w:uiPriority w:val="39"/>
    <w:unhideWhenUsed/>
    <w:pPr>
      <w:pBdr/>
      <w:spacing w:after="100"/>
      <w:ind w:left="220"/>
    </w:pPr>
  </w:style>
  <w:style w:type="paragraph" w:styleId="191">
    <w:name w:val="toc 3"/>
    <w:basedOn w:val="700"/>
    <w:next w:val="700"/>
    <w:uiPriority w:val="39"/>
    <w:unhideWhenUsed/>
    <w:pPr>
      <w:pBdr/>
      <w:spacing w:after="100"/>
      <w:ind w:left="440"/>
    </w:pPr>
  </w:style>
  <w:style w:type="paragraph" w:styleId="192">
    <w:name w:val="toc 4"/>
    <w:basedOn w:val="700"/>
    <w:next w:val="700"/>
    <w:uiPriority w:val="39"/>
    <w:unhideWhenUsed/>
    <w:pPr>
      <w:pBdr/>
      <w:spacing w:after="100"/>
      <w:ind w:left="660"/>
    </w:pPr>
  </w:style>
  <w:style w:type="paragraph" w:styleId="193">
    <w:name w:val="toc 5"/>
    <w:basedOn w:val="700"/>
    <w:next w:val="700"/>
    <w:uiPriority w:val="39"/>
    <w:unhideWhenUsed/>
    <w:pPr>
      <w:pBdr/>
      <w:spacing w:after="100"/>
      <w:ind w:left="880"/>
    </w:pPr>
  </w:style>
  <w:style w:type="paragraph" w:styleId="194">
    <w:name w:val="toc 6"/>
    <w:basedOn w:val="700"/>
    <w:next w:val="700"/>
    <w:uiPriority w:val="39"/>
    <w:unhideWhenUsed/>
    <w:pPr>
      <w:pBdr/>
      <w:spacing w:after="100"/>
      <w:ind w:left="1100"/>
    </w:pPr>
  </w:style>
  <w:style w:type="paragraph" w:styleId="195">
    <w:name w:val="toc 7"/>
    <w:basedOn w:val="700"/>
    <w:next w:val="700"/>
    <w:uiPriority w:val="39"/>
    <w:unhideWhenUsed/>
    <w:pPr>
      <w:pBdr/>
      <w:spacing w:after="100"/>
      <w:ind w:left="1320"/>
    </w:pPr>
  </w:style>
  <w:style w:type="paragraph" w:styleId="196">
    <w:name w:val="toc 8"/>
    <w:basedOn w:val="700"/>
    <w:next w:val="700"/>
    <w:uiPriority w:val="39"/>
    <w:unhideWhenUsed/>
    <w:pPr>
      <w:pBdr/>
      <w:spacing w:after="100"/>
      <w:ind w:left="1540"/>
    </w:pPr>
  </w:style>
  <w:style w:type="paragraph" w:styleId="197">
    <w:name w:val="toc 9"/>
    <w:basedOn w:val="700"/>
    <w:next w:val="700"/>
    <w:uiPriority w:val="39"/>
    <w:unhideWhenUsed/>
    <w:pPr>
      <w:pBdr/>
      <w:spacing w:after="100"/>
      <w:ind w:left="1760"/>
    </w:pPr>
  </w:style>
  <w:style w:type="character" w:styleId="198">
    <w:name w:val="Placeholder Text"/>
    <w:basedOn w:val="714"/>
    <w:uiPriority w:val="99"/>
    <w:semiHidden/>
    <w:pPr>
      <w:pBdr/>
      <w:spacing/>
      <w:ind/>
    </w:pPr>
    <w:rPr>
      <w:color w:val="666666"/>
    </w:rPr>
  </w:style>
  <w:style w:type="paragraph" w:styleId="209">
    <w:name w:val="table of figures"/>
    <w:basedOn w:val="700"/>
    <w:next w:val="700"/>
    <w:uiPriority w:val="99"/>
    <w:unhideWhenUsed/>
    <w:pPr>
      <w:pBdr/>
      <w:spacing w:after="0" w:afterAutospacing="0"/>
      <w:ind/>
    </w:pPr>
  </w:style>
  <w:style w:type="paragraph" w:styleId="700" w:default="1">
    <w:name w:val="Normal"/>
    <w:qFormat/>
    <w:pPr>
      <w:widowControl w:val="true"/>
      <w:pBdr/>
      <w:spacing w:after="100" w:line="250" w:lineRule="auto"/>
      <w:ind/>
    </w:pPr>
    <w:rPr>
      <w:rFonts w:ascii="Arial" w:hAnsi="Arial"/>
      <w:color w:val="000000"/>
      <w:sz w:val="22"/>
    </w:rPr>
  </w:style>
  <w:style w:type="paragraph" w:styleId="701">
    <w:name w:val="Header"/>
    <w:basedOn w:val="700"/>
    <w:link w:val="702"/>
    <w:uiPriority w:val="99"/>
    <w:unhideWhenUsed/>
    <w:pPr>
      <w:pBdr/>
      <w:tabs>
        <w:tab w:val="center" w:leader="none" w:pos="4680"/>
        <w:tab w:val="right" w:leader="none" w:pos="9360"/>
      </w:tabs>
      <w:spacing w:after="0" w:line="240" w:lineRule="auto"/>
      <w:ind/>
    </w:pPr>
  </w:style>
  <w:style w:type="character" w:styleId="702" w:customStyle="1">
    <w:name w:val="Header Char"/>
    <w:basedOn w:val="714"/>
    <w:link w:val="701"/>
    <w:uiPriority w:val="99"/>
    <w:pPr>
      <w:pBdr/>
      <w:spacing/>
      <w:ind/>
    </w:pPr>
  </w:style>
  <w:style w:type="paragraph" w:styleId="703">
    <w:name w:val="Footer"/>
    <w:basedOn w:val="700"/>
    <w:link w:val="704"/>
    <w:uiPriority w:val="99"/>
    <w:unhideWhenUsed/>
    <w:pPr>
      <w:pBdr/>
      <w:tabs>
        <w:tab w:val="center" w:leader="none" w:pos="4680"/>
        <w:tab w:val="right" w:leader="none" w:pos="9360"/>
      </w:tabs>
      <w:spacing w:after="0" w:line="240" w:lineRule="auto"/>
      <w:ind/>
    </w:pPr>
  </w:style>
  <w:style w:type="character" w:styleId="704" w:customStyle="1">
    <w:name w:val="Footer Char"/>
    <w:basedOn w:val="714"/>
    <w:link w:val="703"/>
    <w:uiPriority w:val="99"/>
    <w:pPr>
      <w:pBdr/>
      <w:spacing/>
      <w:ind/>
    </w:pPr>
  </w:style>
  <w:style w:type="paragraph" w:styleId="705">
    <w:name w:val="Heading 1"/>
    <w:basedOn w:val="700"/>
    <w:next w:val="700"/>
    <w:link w:val="718"/>
    <w:uiPriority w:val="9"/>
    <w:qFormat/>
    <w:pPr>
      <w:keepNext w:val="true"/>
      <w:keepLines w:val="true"/>
      <w:pBdr/>
      <w:spacing w:after="100" w:before="220"/>
      <w:ind/>
      <w:outlineLvl w:val="0"/>
    </w:pPr>
    <w:rPr>
      <w:rFonts w:ascii="Arial" w:hAnsi="Arial" w:asciiTheme="majorHAnsi" w:hAnsiTheme="majorHAnsi" w:eastAsiaTheme="majorEastAsia" w:cstheme="majorBidi"/>
      <w:b/>
      <w:bCs/>
      <w:color w:val="000000"/>
      <w:sz w:val="24"/>
      <w:szCs w:val="28"/>
    </w:rPr>
  </w:style>
  <w:style w:type="paragraph" w:styleId="706">
    <w:name w:val="Heading 2"/>
    <w:basedOn w:val="700"/>
    <w:next w:val="700"/>
    <w:link w:val="719"/>
    <w:uiPriority w:val="9"/>
    <w:unhideWhenUsed/>
    <w:qFormat/>
    <w:pPr>
      <w:keepNext w:val="true"/>
      <w:keepLines w:val="true"/>
      <w:pBdr/>
      <w:spacing w:after="60" w:before="120"/>
      <w:ind/>
      <w:outlineLvl w:val="1"/>
    </w:pPr>
    <w:rPr>
      <w:rFonts w:ascii="Arial" w:hAnsi="Arial" w:asciiTheme="majorHAnsi" w:hAnsiTheme="majorHAnsi" w:eastAsiaTheme="majorEastAsia" w:cstheme="majorBidi"/>
      <w:b/>
      <w:bCs/>
      <w:color w:val="000000"/>
      <w:sz w:val="22"/>
      <w:szCs w:val="26"/>
    </w:rPr>
  </w:style>
  <w:style w:type="paragraph" w:styleId="707">
    <w:name w:val="Heading 3"/>
    <w:basedOn w:val="700"/>
    <w:next w:val="700"/>
    <w:link w:val="720"/>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708">
    <w:name w:val="Heading 4"/>
    <w:basedOn w:val="700"/>
    <w:next w:val="700"/>
    <w:link w:val="748"/>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709">
    <w:name w:val="Heading 5"/>
    <w:basedOn w:val="700"/>
    <w:next w:val="700"/>
    <w:link w:val="749"/>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710">
    <w:name w:val="Heading 6"/>
    <w:basedOn w:val="700"/>
    <w:next w:val="700"/>
    <w:link w:val="750"/>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711">
    <w:name w:val="Heading 7"/>
    <w:basedOn w:val="700"/>
    <w:next w:val="700"/>
    <w:link w:val="751"/>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712">
    <w:name w:val="Heading 8"/>
    <w:basedOn w:val="700"/>
    <w:next w:val="700"/>
    <w:link w:val="752"/>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713">
    <w:name w:val="Heading 9"/>
    <w:basedOn w:val="700"/>
    <w:next w:val="700"/>
    <w:link w:val="753"/>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714" w:default="1">
    <w:name w:val="Default Paragraph Font"/>
    <w:uiPriority w:val="1"/>
    <w:semiHidden/>
    <w:unhideWhenUsed/>
    <w:pPr>
      <w:pBdr/>
      <w:spacing/>
      <w:ind/>
    </w:pPr>
  </w:style>
  <w:style w:type="table" w:styleId="7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16" w:default="1">
    <w:name w:val="No List"/>
    <w:uiPriority w:val="99"/>
    <w:semiHidden/>
    <w:unhideWhenUsed/>
    <w:pPr>
      <w:pBdr/>
      <w:spacing/>
      <w:ind/>
    </w:pPr>
  </w:style>
  <w:style w:type="paragraph" w:styleId="717">
    <w:name w:val="No Spacing"/>
    <w:uiPriority w:val="1"/>
    <w:qFormat/>
    <w:pPr>
      <w:pBdr/>
      <w:spacing w:after="0" w:line="240" w:lineRule="auto"/>
      <w:ind/>
    </w:pPr>
  </w:style>
  <w:style w:type="character" w:styleId="718" w:customStyle="1">
    <w:name w:val="Heading 1 Char"/>
    <w:basedOn w:val="714"/>
    <w:link w:val="705"/>
    <w:uiPriority w:val="9"/>
    <w:pPr>
      <w:pBdr/>
      <w:spacing/>
      <w:ind/>
    </w:pPr>
    <w:rPr>
      <w:rFonts w:asciiTheme="majorHAnsi" w:hAnsiTheme="majorHAnsi" w:eastAsiaTheme="majorEastAsia" w:cstheme="majorBidi"/>
      <w:b/>
      <w:bCs/>
      <w:color w:val="365f91" w:themeColor="accent1" w:themeShade="BF"/>
      <w:sz w:val="28"/>
      <w:szCs w:val="28"/>
    </w:rPr>
  </w:style>
  <w:style w:type="character" w:styleId="719" w:customStyle="1">
    <w:name w:val="Heading 2 Char"/>
    <w:basedOn w:val="714"/>
    <w:link w:val="706"/>
    <w:uiPriority w:val="9"/>
    <w:pPr>
      <w:pBdr/>
      <w:spacing/>
      <w:ind/>
    </w:pPr>
    <w:rPr>
      <w:rFonts w:asciiTheme="majorHAnsi" w:hAnsiTheme="majorHAnsi" w:eastAsiaTheme="majorEastAsia" w:cstheme="majorBidi"/>
      <w:b/>
      <w:bCs/>
      <w:color w:val="4f81bd" w:themeColor="accent1"/>
      <w:sz w:val="26"/>
      <w:szCs w:val="26"/>
    </w:rPr>
  </w:style>
  <w:style w:type="character" w:styleId="720" w:customStyle="1">
    <w:name w:val="Heading 3 Char"/>
    <w:basedOn w:val="714"/>
    <w:link w:val="707"/>
    <w:uiPriority w:val="9"/>
    <w:pPr>
      <w:pBdr/>
      <w:spacing/>
      <w:ind/>
    </w:pPr>
    <w:rPr>
      <w:rFonts w:asciiTheme="majorHAnsi" w:hAnsiTheme="majorHAnsi" w:eastAsiaTheme="majorEastAsia" w:cstheme="majorBidi"/>
      <w:b/>
      <w:bCs/>
      <w:color w:val="4f81bd" w:themeColor="accent1"/>
    </w:rPr>
  </w:style>
  <w:style w:type="paragraph" w:styleId="721">
    <w:name w:val="Title"/>
    <w:basedOn w:val="700"/>
    <w:next w:val="700"/>
    <w:link w:val="722"/>
    <w:uiPriority w:val="10"/>
    <w:qFormat/>
    <w:pPr>
      <w:keepNext w:val="true"/>
      <w:pBdr/>
      <w:spacing w:after="100" w:line="240" w:lineRule="auto"/>
      <w:ind/>
      <w:contextualSpacing w:val="true"/>
    </w:pPr>
    <w:rPr>
      <w:rFonts w:ascii="Arial" w:hAnsi="Arial" w:asciiTheme="majorHAnsi" w:hAnsiTheme="majorHAnsi" w:eastAsiaTheme="majorEastAsia" w:cstheme="majorBidi"/>
      <w:b/>
      <w:color w:val="000000"/>
      <w:spacing w:val="5"/>
      <w:sz w:val="42"/>
      <w:szCs w:val="52"/>
    </w:rPr>
  </w:style>
  <w:style w:type="character" w:styleId="722" w:customStyle="1">
    <w:name w:val="Title Char"/>
    <w:basedOn w:val="714"/>
    <w:link w:val="721"/>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723">
    <w:name w:val="Subtitle"/>
    <w:basedOn w:val="700"/>
    <w:next w:val="700"/>
    <w:link w:val="724"/>
    <w:uiPriority w:val="11"/>
    <w:qFormat/>
    <w:pPr>
      <w:numPr>
        <w:ilvl w:val="1"/>
      </w:numPr>
      <w:pBdr/>
      <w:spacing/>
      <w:ind/>
    </w:pPr>
    <w:rPr>
      <w:rFonts w:ascii="Arial" w:hAnsi="Arial" w:asciiTheme="majorHAnsi" w:hAnsiTheme="majorHAnsi" w:eastAsiaTheme="majorEastAsia" w:cstheme="majorBidi"/>
      <w:i/>
      <w:iCs/>
      <w:color w:val="000000"/>
      <w:spacing w:val="15"/>
      <w:sz w:val="24"/>
      <w:szCs w:val="24"/>
    </w:rPr>
  </w:style>
  <w:style w:type="character" w:styleId="724" w:customStyle="1">
    <w:name w:val="Subtitle Char"/>
    <w:basedOn w:val="714"/>
    <w:link w:val="723"/>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725">
    <w:name w:val="List Paragraph"/>
    <w:basedOn w:val="700"/>
    <w:uiPriority w:val="34"/>
    <w:qFormat/>
    <w:pPr>
      <w:pBdr/>
      <w:spacing/>
      <w:ind w:left="720"/>
      <w:contextualSpacing w:val="true"/>
    </w:pPr>
  </w:style>
  <w:style w:type="paragraph" w:styleId="726">
    <w:name w:val="Body Text"/>
    <w:basedOn w:val="700"/>
    <w:link w:val="727"/>
    <w:uiPriority w:val="99"/>
    <w:unhideWhenUsed/>
    <w:pPr>
      <w:pBdr/>
      <w:spacing w:after="120"/>
      <w:ind/>
    </w:pPr>
  </w:style>
  <w:style w:type="character" w:styleId="727" w:customStyle="1">
    <w:name w:val="Body Text Char"/>
    <w:basedOn w:val="714"/>
    <w:link w:val="726"/>
    <w:uiPriority w:val="99"/>
    <w:pPr>
      <w:pBdr/>
      <w:spacing/>
      <w:ind/>
    </w:pPr>
  </w:style>
  <w:style w:type="paragraph" w:styleId="728">
    <w:name w:val="Body Text 2"/>
    <w:basedOn w:val="700"/>
    <w:link w:val="729"/>
    <w:uiPriority w:val="99"/>
    <w:unhideWhenUsed/>
    <w:pPr>
      <w:pBdr/>
      <w:spacing w:after="120" w:line="480" w:lineRule="auto"/>
      <w:ind/>
    </w:pPr>
  </w:style>
  <w:style w:type="character" w:styleId="729" w:customStyle="1">
    <w:name w:val="Body Text 2 Char"/>
    <w:basedOn w:val="714"/>
    <w:link w:val="728"/>
    <w:uiPriority w:val="99"/>
    <w:pPr>
      <w:pBdr/>
      <w:spacing/>
      <w:ind/>
    </w:pPr>
  </w:style>
  <w:style w:type="paragraph" w:styleId="730">
    <w:name w:val="Body Text 3"/>
    <w:basedOn w:val="700"/>
    <w:link w:val="731"/>
    <w:uiPriority w:val="99"/>
    <w:unhideWhenUsed/>
    <w:pPr>
      <w:pBdr/>
      <w:spacing w:after="120"/>
      <w:ind/>
    </w:pPr>
    <w:rPr>
      <w:sz w:val="16"/>
      <w:szCs w:val="16"/>
    </w:rPr>
  </w:style>
  <w:style w:type="character" w:styleId="731" w:customStyle="1">
    <w:name w:val="Body Text 3 Char"/>
    <w:basedOn w:val="714"/>
    <w:link w:val="730"/>
    <w:uiPriority w:val="99"/>
    <w:pPr>
      <w:pBdr/>
      <w:spacing/>
      <w:ind/>
    </w:pPr>
    <w:rPr>
      <w:sz w:val="16"/>
      <w:szCs w:val="16"/>
    </w:rPr>
  </w:style>
  <w:style w:type="paragraph" w:styleId="732">
    <w:name w:val="List"/>
    <w:basedOn w:val="700"/>
    <w:uiPriority w:val="99"/>
    <w:unhideWhenUsed/>
    <w:pPr>
      <w:pBdr/>
      <w:spacing/>
      <w:ind w:hanging="360" w:left="360"/>
      <w:contextualSpacing w:val="true"/>
    </w:pPr>
  </w:style>
  <w:style w:type="paragraph" w:styleId="733">
    <w:name w:val="List 2"/>
    <w:basedOn w:val="700"/>
    <w:uiPriority w:val="99"/>
    <w:unhideWhenUsed/>
    <w:pPr>
      <w:pBdr/>
      <w:spacing/>
      <w:ind w:hanging="360" w:left="720"/>
      <w:contextualSpacing w:val="true"/>
    </w:pPr>
  </w:style>
  <w:style w:type="paragraph" w:styleId="734">
    <w:name w:val="List 3"/>
    <w:basedOn w:val="700"/>
    <w:uiPriority w:val="99"/>
    <w:unhideWhenUsed/>
    <w:pPr>
      <w:pBdr/>
      <w:spacing/>
      <w:ind w:hanging="360" w:left="1080"/>
      <w:contextualSpacing w:val="true"/>
    </w:pPr>
  </w:style>
  <w:style w:type="paragraph" w:styleId="735">
    <w:name w:val="List Bullet"/>
    <w:basedOn w:val="700"/>
    <w:uiPriority w:val="99"/>
    <w:unhideWhenUsed/>
    <w:pPr>
      <w:numPr>
        <w:numId w:val="1"/>
      </w:numPr>
      <w:pBdr/>
      <w:spacing/>
      <w:ind/>
      <w:contextualSpacing w:val="true"/>
    </w:pPr>
  </w:style>
  <w:style w:type="paragraph" w:styleId="736">
    <w:name w:val="List Bullet 2"/>
    <w:basedOn w:val="700"/>
    <w:uiPriority w:val="99"/>
    <w:unhideWhenUsed/>
    <w:pPr>
      <w:numPr>
        <w:numId w:val="2"/>
      </w:numPr>
      <w:pBdr/>
      <w:spacing/>
      <w:ind/>
      <w:contextualSpacing w:val="true"/>
    </w:pPr>
  </w:style>
  <w:style w:type="paragraph" w:styleId="737">
    <w:name w:val="List Bullet 3"/>
    <w:basedOn w:val="700"/>
    <w:uiPriority w:val="99"/>
    <w:unhideWhenUsed/>
    <w:pPr>
      <w:numPr>
        <w:numId w:val="3"/>
      </w:numPr>
      <w:pBdr/>
      <w:spacing/>
      <w:ind/>
      <w:contextualSpacing w:val="true"/>
    </w:pPr>
  </w:style>
  <w:style w:type="paragraph" w:styleId="738">
    <w:name w:val="List Number"/>
    <w:basedOn w:val="700"/>
    <w:uiPriority w:val="99"/>
    <w:unhideWhenUsed/>
    <w:pPr>
      <w:numPr>
        <w:numId w:val="5"/>
      </w:numPr>
      <w:pBdr/>
      <w:spacing/>
      <w:ind/>
      <w:contextualSpacing w:val="true"/>
    </w:pPr>
  </w:style>
  <w:style w:type="paragraph" w:styleId="739">
    <w:name w:val="List Number 2"/>
    <w:basedOn w:val="700"/>
    <w:uiPriority w:val="99"/>
    <w:unhideWhenUsed/>
    <w:pPr>
      <w:numPr>
        <w:numId w:val="6"/>
      </w:numPr>
      <w:pBdr/>
      <w:spacing/>
      <w:ind/>
      <w:contextualSpacing w:val="true"/>
    </w:pPr>
  </w:style>
  <w:style w:type="paragraph" w:styleId="740">
    <w:name w:val="List Number 3"/>
    <w:basedOn w:val="700"/>
    <w:uiPriority w:val="99"/>
    <w:unhideWhenUsed/>
    <w:pPr>
      <w:numPr>
        <w:numId w:val="7"/>
      </w:numPr>
      <w:pBdr/>
      <w:spacing/>
      <w:ind/>
      <w:contextualSpacing w:val="true"/>
    </w:pPr>
  </w:style>
  <w:style w:type="paragraph" w:styleId="741">
    <w:name w:val="List Continue"/>
    <w:basedOn w:val="700"/>
    <w:uiPriority w:val="99"/>
    <w:unhideWhenUsed/>
    <w:pPr>
      <w:pBdr/>
      <w:spacing w:after="120"/>
      <w:ind w:left="360"/>
      <w:contextualSpacing w:val="true"/>
    </w:pPr>
  </w:style>
  <w:style w:type="paragraph" w:styleId="742">
    <w:name w:val="List Continue 2"/>
    <w:basedOn w:val="700"/>
    <w:uiPriority w:val="99"/>
    <w:unhideWhenUsed/>
    <w:pPr>
      <w:pBdr/>
      <w:spacing w:after="120"/>
      <w:ind w:left="720"/>
      <w:contextualSpacing w:val="true"/>
    </w:pPr>
  </w:style>
  <w:style w:type="paragraph" w:styleId="743">
    <w:name w:val="List Continue 3"/>
    <w:basedOn w:val="700"/>
    <w:uiPriority w:val="99"/>
    <w:unhideWhenUsed/>
    <w:pPr>
      <w:pBdr/>
      <w:spacing w:after="120"/>
      <w:ind w:left="1080"/>
      <w:contextualSpacing w:val="true"/>
    </w:pPr>
  </w:style>
  <w:style w:type="paragraph" w:styleId="744">
    <w:name w:val="macro"/>
    <w:link w:val="745"/>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745" w:customStyle="1">
    <w:name w:val="Macro Text Char"/>
    <w:basedOn w:val="714"/>
    <w:link w:val="744"/>
    <w:uiPriority w:val="99"/>
    <w:pPr>
      <w:pBdr/>
      <w:spacing/>
      <w:ind/>
    </w:pPr>
    <w:rPr>
      <w:rFonts w:ascii="Courier" w:hAnsi="Courier"/>
      <w:sz w:val="20"/>
      <w:szCs w:val="20"/>
    </w:rPr>
  </w:style>
  <w:style w:type="paragraph" w:styleId="746">
    <w:name w:val="Quote"/>
    <w:basedOn w:val="700"/>
    <w:next w:val="700"/>
    <w:link w:val="747"/>
    <w:uiPriority w:val="29"/>
    <w:qFormat/>
    <w:pPr>
      <w:pBdr/>
      <w:spacing/>
      <w:ind/>
    </w:pPr>
    <w:rPr>
      <w:i/>
      <w:iCs/>
      <w:color w:val="000000" w:themeColor="text1"/>
    </w:rPr>
  </w:style>
  <w:style w:type="character" w:styleId="747" w:customStyle="1">
    <w:name w:val="Quote Char"/>
    <w:basedOn w:val="714"/>
    <w:link w:val="746"/>
    <w:uiPriority w:val="29"/>
    <w:pPr>
      <w:pBdr/>
      <w:spacing/>
      <w:ind/>
    </w:pPr>
    <w:rPr>
      <w:i/>
      <w:iCs/>
      <w:color w:val="000000" w:themeColor="text1"/>
    </w:rPr>
  </w:style>
  <w:style w:type="character" w:styleId="748" w:customStyle="1">
    <w:name w:val="Heading 4 Char"/>
    <w:basedOn w:val="714"/>
    <w:link w:val="708"/>
    <w:uiPriority w:val="9"/>
    <w:semiHidden/>
    <w:pPr>
      <w:pBdr/>
      <w:spacing/>
      <w:ind/>
    </w:pPr>
    <w:rPr>
      <w:rFonts w:asciiTheme="majorHAnsi" w:hAnsiTheme="majorHAnsi" w:eastAsiaTheme="majorEastAsia" w:cstheme="majorBidi"/>
      <w:b/>
      <w:bCs/>
      <w:i/>
      <w:iCs/>
      <w:color w:val="4f81bd" w:themeColor="accent1"/>
    </w:rPr>
  </w:style>
  <w:style w:type="character" w:styleId="749" w:customStyle="1">
    <w:name w:val="Heading 5 Char"/>
    <w:basedOn w:val="714"/>
    <w:link w:val="709"/>
    <w:uiPriority w:val="9"/>
    <w:semiHidden/>
    <w:pPr>
      <w:pBdr/>
      <w:spacing/>
      <w:ind/>
    </w:pPr>
    <w:rPr>
      <w:rFonts w:asciiTheme="majorHAnsi" w:hAnsiTheme="majorHAnsi" w:eastAsiaTheme="majorEastAsia" w:cstheme="majorBidi"/>
      <w:color w:val="243f60" w:themeColor="accent1" w:themeShade="7F"/>
    </w:rPr>
  </w:style>
  <w:style w:type="character" w:styleId="750" w:customStyle="1">
    <w:name w:val="Heading 6 Char"/>
    <w:basedOn w:val="714"/>
    <w:link w:val="710"/>
    <w:uiPriority w:val="9"/>
    <w:semiHidden/>
    <w:pPr>
      <w:pBdr/>
      <w:spacing/>
      <w:ind/>
    </w:pPr>
    <w:rPr>
      <w:rFonts w:asciiTheme="majorHAnsi" w:hAnsiTheme="majorHAnsi" w:eastAsiaTheme="majorEastAsia" w:cstheme="majorBidi"/>
      <w:i/>
      <w:iCs/>
      <w:color w:val="243f60" w:themeColor="accent1" w:themeShade="7F"/>
    </w:rPr>
  </w:style>
  <w:style w:type="character" w:styleId="751" w:customStyle="1">
    <w:name w:val="Heading 7 Char"/>
    <w:basedOn w:val="714"/>
    <w:link w:val="711"/>
    <w:uiPriority w:val="9"/>
    <w:semiHidden/>
    <w:pPr>
      <w:pBdr/>
      <w:spacing/>
      <w:ind/>
    </w:pPr>
    <w:rPr>
      <w:rFonts w:asciiTheme="majorHAnsi" w:hAnsiTheme="majorHAnsi" w:eastAsiaTheme="majorEastAsia" w:cstheme="majorBidi"/>
      <w:i/>
      <w:iCs/>
      <w:color w:val="404040" w:themeColor="text1" w:themeTint="BF"/>
    </w:rPr>
  </w:style>
  <w:style w:type="character" w:styleId="752" w:customStyle="1">
    <w:name w:val="Heading 8 Char"/>
    <w:basedOn w:val="714"/>
    <w:link w:val="712"/>
    <w:uiPriority w:val="9"/>
    <w:semiHidden/>
    <w:pPr>
      <w:pBdr/>
      <w:spacing/>
      <w:ind/>
    </w:pPr>
    <w:rPr>
      <w:rFonts w:asciiTheme="majorHAnsi" w:hAnsiTheme="majorHAnsi" w:eastAsiaTheme="majorEastAsia" w:cstheme="majorBidi"/>
      <w:color w:val="4f81bd" w:themeColor="accent1"/>
      <w:sz w:val="20"/>
      <w:szCs w:val="20"/>
    </w:rPr>
  </w:style>
  <w:style w:type="character" w:styleId="753" w:customStyle="1">
    <w:name w:val="Heading 9 Char"/>
    <w:basedOn w:val="714"/>
    <w:link w:val="713"/>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754">
    <w:name w:val="Caption"/>
    <w:basedOn w:val="700"/>
    <w:next w:val="700"/>
    <w:uiPriority w:val="35"/>
    <w:semiHidden/>
    <w:unhideWhenUsed/>
    <w:qFormat/>
    <w:pPr>
      <w:pBdr/>
      <w:spacing w:line="240" w:lineRule="auto"/>
      <w:ind/>
    </w:pPr>
    <w:rPr>
      <w:b/>
      <w:bCs/>
      <w:color w:val="4f81bd" w:themeColor="accent1"/>
      <w:sz w:val="18"/>
      <w:szCs w:val="18"/>
    </w:rPr>
  </w:style>
  <w:style w:type="character" w:styleId="755">
    <w:name w:val="Strong"/>
    <w:basedOn w:val="714"/>
    <w:uiPriority w:val="22"/>
    <w:qFormat/>
    <w:pPr>
      <w:pBdr/>
      <w:spacing/>
      <w:ind/>
    </w:pPr>
    <w:rPr>
      <w:b/>
      <w:bCs/>
    </w:rPr>
  </w:style>
  <w:style w:type="character" w:styleId="756">
    <w:name w:val="Emphasis"/>
    <w:basedOn w:val="714"/>
    <w:uiPriority w:val="20"/>
    <w:qFormat/>
    <w:pPr>
      <w:pBdr/>
      <w:spacing/>
      <w:ind/>
    </w:pPr>
    <w:rPr>
      <w:i/>
      <w:iCs/>
    </w:rPr>
  </w:style>
  <w:style w:type="paragraph" w:styleId="757">
    <w:name w:val="Intense Quote"/>
    <w:basedOn w:val="700"/>
    <w:next w:val="700"/>
    <w:link w:val="758"/>
    <w:uiPriority w:val="30"/>
    <w:qFormat/>
    <w:pPr>
      <w:pBdr/>
      <w:spacing w:after="280" w:before="200"/>
      <w:ind w:right="936" w:left="936"/>
    </w:pPr>
    <w:rPr>
      <w:b/>
      <w:bCs/>
      <w:i/>
      <w:iCs/>
      <w:color w:val="4f81bd" w:themeColor="accent1"/>
    </w:rPr>
  </w:style>
  <w:style w:type="character" w:styleId="758" w:customStyle="1">
    <w:name w:val="Intense Quote Char"/>
    <w:basedOn w:val="714"/>
    <w:link w:val="757"/>
    <w:uiPriority w:val="30"/>
    <w:pPr>
      <w:pBdr/>
      <w:spacing/>
      <w:ind/>
    </w:pPr>
    <w:rPr>
      <w:b/>
      <w:bCs/>
      <w:i/>
      <w:iCs/>
      <w:color w:val="4f81bd" w:themeColor="accent1"/>
    </w:rPr>
  </w:style>
  <w:style w:type="character" w:styleId="759">
    <w:name w:val="Subtle Emphasis"/>
    <w:basedOn w:val="714"/>
    <w:uiPriority w:val="19"/>
    <w:qFormat/>
    <w:pPr>
      <w:pBdr/>
      <w:spacing/>
      <w:ind/>
    </w:pPr>
    <w:rPr>
      <w:i/>
      <w:iCs/>
      <w:color w:val="808080" w:themeColor="text1" w:themeTint="7F"/>
    </w:rPr>
  </w:style>
  <w:style w:type="character" w:styleId="760">
    <w:name w:val="Intense Emphasis"/>
    <w:basedOn w:val="714"/>
    <w:uiPriority w:val="21"/>
    <w:qFormat/>
    <w:pPr>
      <w:pBdr/>
      <w:spacing/>
      <w:ind/>
    </w:pPr>
    <w:rPr>
      <w:b/>
      <w:bCs/>
      <w:i/>
      <w:iCs/>
      <w:color w:val="4f81bd" w:themeColor="accent1"/>
    </w:rPr>
  </w:style>
  <w:style w:type="character" w:styleId="761">
    <w:name w:val="Subtle Reference"/>
    <w:basedOn w:val="714"/>
    <w:uiPriority w:val="31"/>
    <w:qFormat/>
    <w:pPr>
      <w:pBdr/>
      <w:spacing/>
      <w:ind/>
    </w:pPr>
    <w:rPr>
      <w:smallCaps/>
      <w:color w:val="c0504d" w:themeColor="accent2"/>
      <w:u w:val="single"/>
    </w:rPr>
  </w:style>
  <w:style w:type="character" w:styleId="762">
    <w:name w:val="Intense Reference"/>
    <w:basedOn w:val="714"/>
    <w:uiPriority w:val="32"/>
    <w:qFormat/>
    <w:pPr>
      <w:pBdr/>
      <w:spacing/>
      <w:ind/>
    </w:pPr>
    <w:rPr>
      <w:b/>
      <w:bCs/>
      <w:smallCaps/>
      <w:color w:val="c0504d" w:themeColor="accent2"/>
      <w:spacing w:val="5"/>
      <w:u w:val="single"/>
    </w:rPr>
  </w:style>
  <w:style w:type="character" w:styleId="763">
    <w:name w:val="Book Title"/>
    <w:basedOn w:val="714"/>
    <w:uiPriority w:val="33"/>
    <w:qFormat/>
    <w:pPr>
      <w:pBdr/>
      <w:spacing/>
      <w:ind/>
    </w:pPr>
    <w:rPr>
      <w:b/>
      <w:bCs/>
      <w:smallCaps/>
      <w:spacing w:val="5"/>
    </w:rPr>
  </w:style>
  <w:style w:type="paragraph" w:styleId="764">
    <w:name w:val="TOC Heading"/>
    <w:basedOn w:val="705"/>
    <w:next w:val="700"/>
    <w:uiPriority w:val="39"/>
    <w:semiHidden/>
    <w:unhideWhenUsed/>
    <w:qFormat/>
    <w:pPr>
      <w:pBdr/>
      <w:spacing/>
      <w:ind/>
      <w:outlineLvl w:val="9"/>
    </w:pPr>
  </w:style>
  <w:style w:type="table" w:styleId="765">
    <w:name w:val="Table Grid"/>
    <w:basedOn w:val="71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ght Shading"/>
    <w:basedOn w:val="715"/>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ght Shading Accent 1"/>
    <w:basedOn w:val="715"/>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ght Shading Accent 2"/>
    <w:basedOn w:val="715"/>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ght Shading Accent 3"/>
    <w:basedOn w:val="715"/>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ght Shading Accent 4"/>
    <w:basedOn w:val="715"/>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ght Shading Accent 5"/>
    <w:basedOn w:val="715"/>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ght Shading Accent 6"/>
    <w:basedOn w:val="715"/>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ght List"/>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ght List Accent 1"/>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ght List Accent 2"/>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ght List Accent 3"/>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ght List Accent 4"/>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ght List Accent 5"/>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ght List Accent 6"/>
    <w:basedOn w:val="71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ght Grid"/>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ght Grid Accent 1"/>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ght Grid Accent 2"/>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ght Grid Accent 3"/>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ght Grid Accent 4"/>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ght Grid Accent 5"/>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ght Grid Accent 6"/>
    <w:basedOn w:val="71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Medium Shading 1"/>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Medium Shading 1 Accent 1"/>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Medium Shading 1 Accent 2"/>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Medium Shading 1 Accent 3"/>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Medium Shading 1 Accent 4"/>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Medium Shading 1 Accent 5"/>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Medium Shading 1 Accent 6"/>
    <w:basedOn w:val="71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Medium Shading 2"/>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Medium Shading 2 Accent 1"/>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Medium Shading 2 Accent 2"/>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Medium Shading 2 Accent 3"/>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Medium Shading 2 Accent 4"/>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Medium Shading 2 Accent 5"/>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Medium Shading 2 Accent 6"/>
    <w:basedOn w:val="71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Medium List 1"/>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Medium List 1 Accent 1"/>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Medium List 1 Accent 2"/>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Medium List 1 Accent 3"/>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Medium List 1 Accent 4"/>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Medium List 1 Accent 5"/>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Medium List 1 Accent 6"/>
    <w:basedOn w:val="71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Medium List 2"/>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Medium List 2 Accent 1"/>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Medium List 2 Accent 2"/>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Medium List 2 Accent 3"/>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Medium List 2 Accent 4"/>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Medium List 2 Accent 5"/>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Medium List 2 Accent 6"/>
    <w:basedOn w:val="71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Medium Grid 1"/>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Medium Grid 1 Accent 1"/>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Medium Grid 1 Accent 2"/>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Medium Grid 1 Accent 3"/>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Medium Grid 1 Accent 4"/>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Medium Grid 1 Accent 5"/>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Medium Grid 1 Accent 6"/>
    <w:basedOn w:val="71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Medium Grid 2"/>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Medium Grid 2 Accent 1"/>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Medium Grid 2 Accent 2"/>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Medium Grid 2 Accent 3"/>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Medium Grid 2 Accent 4"/>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Medium Grid 2 Accent 5"/>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Medium Grid 2 Accent 6"/>
    <w:basedOn w:val="71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Medium Grid 3"/>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Medium Grid 3 Accent 1"/>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Medium Grid 3 Accent 2"/>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Medium Grid 3 Accent 3"/>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Medium Grid 3 Accent 4"/>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Medium Grid 3 Accent 5"/>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Medium Grid 3 Accent 6"/>
    <w:basedOn w:val="71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Dark List"/>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Dark List Accent 1"/>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Dark List Accent 2"/>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Dark List Accent 3"/>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Dark List Accent 4"/>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Dark List Accent 5"/>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Dark List Accent 6"/>
    <w:basedOn w:val="71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Colorful Shading"/>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Colorful Shading Accent 1"/>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Colorful Shading Accent 2"/>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Colorful Shading Accent 3"/>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Colorful Shading Accent 4"/>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Colorful Shading Accent 5"/>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Colorful Shading Accent 6"/>
    <w:basedOn w:val="71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Colorful List"/>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Colorful List Accent 1"/>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Colorful List Accent 2"/>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Colorful List Accent 3"/>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Colorful List Accent 4"/>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Colorful List Accent 5"/>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Colorful List Accent 6"/>
    <w:basedOn w:val="71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Colorful Grid"/>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Colorful Grid Accent 1"/>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Colorful Grid Accent 2"/>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Colorful Grid Accent 3"/>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Colorful Grid Accent 4"/>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Colorful Grid Accent 5"/>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Colorful Grid Accent 6"/>
    <w:basedOn w:val="71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https://www.calstatela.edu/research/ladores" TargetMode="External"/><Relationship Id="rId12" Type="http://schemas.openxmlformats.org/officeDocument/2006/relationships/hyperlink" Target="https://vimeo.com/1081925098" TargetMode="External"/><Relationship Id="rId13" Type="http://schemas.openxmlformats.org/officeDocument/2006/relationships/hyperlink" Target="https://storymaps.arcgis.com/stories/7aadd94903004c7c8bba0ba2372a3f57" TargetMode="External"/><Relationship Id="rId14" Type="http://schemas.openxmlformats.org/officeDocument/2006/relationships/hyperlink" Target="https://bloomlibrary.org/language:clo" TargetMode="External"/><Relationship Id="rId15" Type="http://schemas.openxmlformats.org/officeDocument/2006/relationships/hyperlink" Target="https://bloomlibrary.org/language:chd"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Aaron Huey Sonnenschein Curriculum Vitae</dc:title>
  <dc:subject>Indigenous language documentation reclamation education and international collaboration</dc:subject>
  <dc:creator>Aaron Huey Sonnenschein</dc:creator>
  <cp:keywords>Taiwan Fellowship, Indigenous languages, language reclamation, community media</cp:keywords>
  <dc:description/>
  <cp:revision>2</cp:revision>
  <dcterms:created xsi:type="dcterms:W3CDTF">2013-12-23T23:15:00Z</dcterms:created>
  <dcterms:modified xsi:type="dcterms:W3CDTF">2026-10-23T07:26:44Z</dcterms:modified>
  <cp:category/>
</cp:coreProperties>
</file>